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0"/>
        <w:jc w:val="center"/>
        <w:rPr>
          <w:rFonts w:ascii="AdobeHeitiStd-Regular" w:hAnsi="AdobeHeitiStd-Regular" w:eastAsia="AdobeHeitiStd-Regular" w:cs="AdobeHeitiStd-Regular"/>
          <w:i w:val="0"/>
          <w:caps w:val="0"/>
          <w:color w:val="BF0103"/>
          <w:spacing w:val="0"/>
          <w:sz w:val="39"/>
          <w:szCs w:val="39"/>
        </w:rPr>
      </w:pPr>
      <w:r>
        <w:rPr>
          <w:rFonts w:hint="default" w:ascii="AdobeHeitiStd-Regular" w:hAnsi="AdobeHeitiStd-Regular" w:eastAsia="AdobeHeitiStd-Regular" w:cs="AdobeHeitiStd-Regular"/>
          <w:i w:val="0"/>
          <w:caps w:val="0"/>
          <w:color w:val="BF0103"/>
          <w:spacing w:val="0"/>
          <w:sz w:val="39"/>
          <w:szCs w:val="39"/>
          <w:bdr w:val="none" w:color="auto" w:sz="0" w:space="0"/>
          <w:shd w:val="clear" w:fill="FFFFFF"/>
        </w:rPr>
        <w:t>交通运输部 发展改革委 财政部 自然资源部 生态环境部 应急部 海关总署 市场监管总局 国家铁路集团关于建设世界一流港口的指导意见</w:t>
      </w:r>
    </w:p>
    <w:p/>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ascii="AdobeHeitiStd-Regular" w:hAnsi="AdobeHeitiStd-Regular" w:eastAsia="AdobeHeitiStd-Regular" w:cs="AdobeHeitiStd-Regular"/>
          <w:i w:val="0"/>
          <w:caps w:val="0"/>
          <w:color w:val="323232"/>
          <w:spacing w:val="0"/>
          <w:sz w:val="24"/>
          <w:szCs w:val="24"/>
        </w:rPr>
      </w:pP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各省、自治区、直辖市交通运输、发展改革、财政、自然资源、生态环境、应急管理、市场监管厅（局、委），海关总署广东分署、各直属海关，国家铁路集团所属各单位，中国远洋海运集团、招商局集团、中国交通建设集团：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港口是综合交通运输枢纽，也是经济社会发展的战略资源和重要支撑。为深入贯彻习近平新时代中国特色社会主义思想和习近平总书记关于港口发展的重要指示精神，贯彻落实《交通强国建设纲要》，加快世界一流港口建设，现提出如下指导意见。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一、总体要求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以习近平新时代中国特色社会主义思想为指导，全面贯彻党的十九大和十九届二中、三中、四中全会精神，深入贯彻新发展理念，以高质量发展为主题，以供给侧结构性改革为主线，以交通强国建设为统领，坚持市场主导、政府引导，坚持目标导向、改革创新，坚持整体推进、重点突破，坚持因港制宜、分类指导，着力促进降本增效，着力促进绿色、智慧、安全发展，着力推进陆海联动、江河海互动、港产城融合，着力把港口建设好、管理好、发展好，打造一流设施、一流技术、一流管理、一流服务，强化港口的综合枢纽作用，整体提升港口高质量发展水平，以枢纽港为重点，建设安全便捷、智慧绿色、经济高效、支撑有力、世界先进的世界一流港口，更好服务人民群众、服务国家重大战略，为社会主义现代化强国建设提供重要支撑，谱写交通强国建设港口篇章。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到2025年，世界一流港口建设取得重要进展，主要港口绿色、智慧、安全发展实现重大突破，地区性重要港口和一般港口专业化、规模化水平明显提升。到2035年，全国港口发展水平整体跃升，主要港口总体达到世界一流水平，若干个枢纽港口建成世界一流港口，引领全球港口绿色发展、智慧发展。到2050年，全面建成世界一流港口，形成若干个世界级港口群，发展水平位居世界前列。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二、重点任务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（一）着力提升港口综合服务能力。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1.系统优化供给体系。着力优化供给布局，节约集约利用空间资源，优化港口布局规划，促进港口间合理分工、错位发展，优化重点货类运输系统。统筹新港区开发与老港区搬迁，引导新建港区码头集中布置、连片开发。扩大优质增量供给，开展港口智能建造技术创新，提升工程质量品质。优化存量资源，坚持新建与既有码头技术升级改造并重，坚持建设、管理和养护并重，强化监测监控、健康诊断与日常维护，提高港口设施使用年限和耐久可靠性。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2.提升港口综合服务功能。进一步优化港口装卸存储主业，完善港口船舶供应和服务保障体系。大力发展冷链、汽车、化工等专业物流，增强中转配送、流通加工等增值服务，延伸港口物流产业链。积极发展港航信息、商贸、金融保险等现代服务业，吸引国际货物中转、集拼等业务，提升航运服务能级，支撑世界一流的国际航运中心建设。完善以邮轮母港为引领、邮轮始发港为主体、访问港为补充的邮轮港口布局，提升邮轮等客运码头综合服务功能，拓展邮轮产业链，改善旅客候船环境和陆岛客运码头条件，加强与城市公交和其他运输方式衔接，提升旅客体验和满意度。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3.以多式联运为重点补齐短板。健全港口集疏运体系，促进不同运输方式间有效衔接，重点解决铁路进港“最后一公里”问题，重要港区新建集装箱、大宗干散货作业区原则上同步规划建设进港铁路。以铁水联运、江海联运、江海直达等为重点，大力发展以港口为枢纽、“一单制”为核心的多式联运。加快专业化、规模化内河港区建设，积极推进新出海通道相关港区建设和LNG接收站配套码头、江海联运码头等建设。完善客运码头设施，有序建设改造内河游轮码头。加强进港深水航道和锚地建设。到2025年，集装箱、干散货重要港区铁路进港率达到60%以上，矿石、煤炭等大宗货物主要由铁路或水路集疏运；到2035年，重要港区基本实现铁路进港全覆盖，港口集装箱铁水联运比例显著提升。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（二）加快绿色港口建设。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4.着力强化污染防治。推进港口和船舶污染防治攻坚，开展既有码头环保设施升级改造及港口规范作业专项行动。推动市县人民政府依法统筹规划建设港口船舶污染物接收、转运、处置设施，加强分类管理、有效处置和利用。优化污染治理模式，新建港区同步推进环保设施的规划建设和综合利用，逐步推行内河船舶污染物集中接收转运、小型船舶“船上储存交岸处置”为主的排放治理模式。健全环保标准制度，强化散货作业防尘抑尘措施，推进原油、成品油装船码头油气回收。严格实施危险废物、船舶水污染物转移联合监管制度，加快单证电子化管理和多部门共享。2025年初步形成设施齐备、制度健全、运行有效的港口和船舶污染防治体系；2035年港口和船舶污染防治水平居于世界前列。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5.构建清洁低碳的港口用能体系。完善港口LNG加注、岸电标准规范和供应服务体系。完善船舶大气污染物排放控制区，协同推进、大力提升船舶靠港岸电使用率，加强岸电使用绩效考核。鼓励新增和更换港口作业机械、港内车辆和拖轮等优先使用新能源和清洁能源，加快提升港口作业机械和车辆清洁化比例。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6.加强资源节约循环利用和生态保护。严格落实围填海管控政策，严格管控和合理利用深水岸线，提倡建设公用码头，鼓励现有货主自用码头提供公共服务。实施既有设施设备改造，推广应用节能节水新技术、新工艺。综合利用航道疏浚土、施工材料、废旧材料。推进港区生产生活污水、雨污水循环利用。实施港区绿化工程，引导有条件的港口开展陆域、水域生态修复。到2025年，港口资源节约循环利用水平明显提升，2035年主要港口绿色发展达到国际先进水平。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（三）加快智慧港口建设。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7.建设智能化港口系统。加强自主创新、集成创新，加大港作机械等装备关键技术、自动化集装箱码头操作系统、远程作业操控技术研发与推广应用，积极推进新一代自动化码头、堆场建设改造。建设基于5G、北斗、物联网等技术的信息基础设施，推动港区内部集卡和特殊场景集疏运通道集卡自动驾驶示范，深化港区联动。到2025年，部分沿海集装箱枢纽港初步形成全面感知、泛在互联、港车协同的智能化系统。到2035年，集装箱枢纽港基本建成智能化系统。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8.加快智慧物流建设。大力推进港口无纸化作业，完善“一站式”“一网通”等信息服务系统，主要港口加快实现主要作业单证电子化和业务项目在线办理。推广应用铁水联运数据交换报文标准，实现信息交换共享。实施“互联网+”战略，建立港口企业云服务数据中心，创新港口物流模式，促进与上下游产业的有效衔接、业务协同。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（四）加快推进开放融合发展。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9.积极推动港航协同发展。开展中小港口企业专优特精行动。加强港口互动，合作建设完善专业化码头服务网络。以更高质量一体化为导向，推动区域性航道、锚地共享共用，完善干支联动、江海互动的发展格局。强化枢纽港的引领作用，加快建设布局合理、功能完善、优势互补、协同高效的京津冀、长三角、东南沿海、粤港澳大湾区、西南沿海等区域港口群。鼓励港航企业通过产权置换、共同开发、联合运营、航线合作等方式，促进港航互动联合、合作共赢。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10.推动港产城深度融合发展。按照国土空间规划总体布局，加强港口与城乡建设、产业发展布局的有效衔接，推进城市景观岸线与港口生产岸线协调发展，将港口污染防治融入城市生态环境保护体系，促进港城协调发展。依托港口建设物流中心、商品车和大宗商品交易平台、跨境贸易中心，促进要素资源集聚，服务临港产业升级。推动港口岸线与后方土地统筹开发，鼓励共建共用内陆无水港，增强港口的辐射带动作用。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11.持续优化口岸营商环境。依托自由贸易试验区、自由贸易港的口岸监管和政策创新，探索港口建设管理模式创新。继续简化一体化通关流程，优化海事监管和引航服务，进一步简化进出口环节监管证件，加快推进“单一窗口”功能覆盖海运和贸易全链条，推动运输和通关便利化、一体化。落实口岸经营服务性收费目录清单和公示制度，联合开展监督检查。加快推进口岸通关物流服务全过程电子化，推动大型港航企业与“单一窗口”的合作对接，共同建设跨境贸易大数据平台，打造“一站式”贸易服务平台。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12.更好服务“一带一路”建设。通过设点、连线、成网、布局，构建完善的海上互联互通网络，加强港口与中欧班列、西部陆海新通道、中欧陆海快线等衔接，加快建设便捷高效的国际贸易综合运输体系，推动形成陆海内外联动、东西双向互济的开放格局。完善港口国际合作机制，加强政策技术交流，促进物流信息共享和标准互通。优化外商投资港口的发展环境，吸引境外投资；鼓励我国企业积极参与“一带一路”沿线港口投资、建设、运营，交流共享港口管理经验和发展模式，形成若干个世界一流全球码头建设和运营商、综合服务商。推动建设国际港口联盟，完善海丝港口国际合作论坛等“21世纪海上丝绸之路”港口合作机制。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（五）加快平安港口建设。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13.着力强化本质安全。加强安全设施建设维护，建立完善港口储罐、安全设施检测和日常管控制度，提高设施设备安全可靠性。提升客运码头安检查危能力，推动高危作业场所和环节逐步实现自动化、无人化。推进建立省级港口危险货物监管平台，实现重要设施设备实时监测、智能感知和风险预警。强化重要港口网络安全保障，确保关键信息基础设施安全。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14.着力推进双重预防机制建设。加强源头管控，严格落实港口危险货物建设项目安全审查制度。以危险货物作业和重大危险源等为重点，定期全面排查，形成安全风险清单，落实分级分类管控措施。加强港口客运站、危险货物储罐、堆场等区域风险联防联控。建立健全隐患排查治理制度，实行隐患定期排查、重大隐患及时“清零”，形成闭环管理。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15.着力强化安全保障与应急能力。落实管行业必须管安全、管业务必须管安全、管生产经营必须管安全的要求，严密安全责任体系；强化基层监管能力建设，建立部门间信息共享、协同监管和应急联动机制。建立实施港口客运、危险货物作业安全生产责任保险制度。完善港口应急预案，纳入城市应急预案体系。加强消防和应急救援专业设备设施、队伍建设，强化港口非预设场景应急演练和实战演练，加快应急保障关键技术研发应用。到2025年，港口安全发展水平显著提升。到2035年，主要港口安全发展达到国际先进水平。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（六）推进港口治理体系现代化。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16.深化重点领域改革。加强资源整合，有序推进区域港口一体化改革，促进港口资源利用集约化、运营一体化、竞争有序化、服务现代化。鼓励国有骨干港口企业向资本投资、营运管理转变。深化“放管服”改革，精简港口经营许可事项，逐步推行普通货物港口经营许可告知承诺制。深化港口价格形成机制改革，进一步放开市场竞争性服务收费。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17.推动完善法规政策标准。加快《中华人民共和国港口法》修订研究工作，完善配套规章制度。以高质量发展为导向，建立实施港口发展指标体系（附件），完善港口管理体制机制、投融资体制、统计监测制度和港口发展政策。以安全、绿色、智慧为重点，完善港口标准。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18.建立健全市场监管体系。以客运和危险货物作业等为重点，加强“双随机、一公开”检查，推进跨部门联合监管和“互联网+监管”。强化信用监管，构建以信用为基础的新型监管机制，强化行业自律和企业自我约束。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19.加强人才队伍建设。引导航海类高校增加港口危险货物安全、国际化管理等课程设置，推动建立国际港口专业人员培训平台，推进智库建设。开展从业人员素质提升行动，强化技能等级评价、岗位练兵、技能竞赛，建设知识型、技能型、创新型港口劳动者大军。培养科技领军人才、创新团队、国际运营团队，打造高素质专业化港口人才队伍。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三、保障措施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一）加强组织领导。把党的领导贯穿到世界一流港口建设全过程。推动地方政府将港口发展纳入经济社会发展全局中谋划推进，依法落实港口公共基础设施建设维护资金责任。要因港施策，根据自身特点和功能定位，对标国际同类型先进港口，找准差距补短板。地区性重要港口和一般港口要科学定位，突出特色，防止贪大求全。细化完善任务措施，明确任务分工，加强协作配合，狠抓任务落实，确保港口高质量发展取得实效。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二）加强政策支持。加快研究建立港口发展长效资金保障机制。采取多元化筹资方式，鼓励社会资本设立多式联运产业基金；利用中央、地方资金等现有资金，支持港口多式联运和安全、绿色、智慧发展。对纳入港口总体规划和运输结构调整计划的项目，符合国家重大战略的，加大支持力度，保障合理用海、用地需求，纳入环评审批绿色通道，加快审查审批进度。加强指导督促，协调解决企业发展难题。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三）营造良好环境。强化舆论宣传和典型引路，加强港口重大建设成就、“最美港口人”等宣传。强化港口文化建设，推进港口历史文化展示区、港口博物馆建设，打造一批港口文化作品；统筹兼顾沿岸生态景观和交通功能，因地制宜发展港口游、工业遗产游。支持友好港建设，讲好中国港口故事。鼓励有条件的主要港口、企业纳入交通强国建设试点范围，开展世界一流港口对标和综合评价。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附件：港口发展指标体系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default" w:ascii="AdobeHeitiStd-Regular" w:hAnsi="AdobeHeitiStd-Regular" w:eastAsia="AdobeHeitiStd-Regular" w:cs="AdobeHeitiStd-Regular"/>
          <w:i w:val="0"/>
          <w:caps w:val="0"/>
          <w:color w:val="323232"/>
          <w:spacing w:val="0"/>
          <w:sz w:val="24"/>
          <w:szCs w:val="24"/>
        </w:rPr>
      </w:pP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交通运输部 　　　发展改革委 　　　财政部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自然资源部 　　　生态环境部 　　　应急部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海关总署　　市场监管总局　　国家铁路集团 </w:t>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br w:type="textWrapping"/>
      </w: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2019年11月6日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AdobeHeitiStd-Regular" w:hAnsi="AdobeHeitiStd-Regular" w:eastAsia="AdobeHeitiStd-Regular" w:cs="AdobeHeitiStd-Regular"/>
          <w:i w:val="0"/>
          <w:caps w:val="0"/>
          <w:color w:val="323232"/>
          <w:spacing w:val="0"/>
          <w:sz w:val="24"/>
          <w:szCs w:val="24"/>
        </w:rPr>
      </w:pP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（此件公开发布）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AdobeHeitiStd-Regular" w:hAnsi="AdobeHeitiStd-Regular" w:eastAsia="AdobeHeitiStd-Regular" w:cs="AdobeHeitiStd-Regular"/>
          <w:i w:val="0"/>
          <w:caps w:val="0"/>
          <w:color w:val="323232"/>
          <w:spacing w:val="0"/>
          <w:sz w:val="24"/>
          <w:szCs w:val="24"/>
        </w:rPr>
      </w:pPr>
      <w:r>
        <w:rPr>
          <w:rFonts w:hint="default" w:ascii="AdobeHeitiStd-Regular" w:hAnsi="AdobeHeitiStd-Regular" w:eastAsia="AdobeHeitiStd-Regular" w:cs="AdobeHeitiStd-Regular"/>
          <w:i w:val="0"/>
          <w:caps w:val="0"/>
          <w:color w:val="323232"/>
          <w:spacing w:val="0"/>
          <w:sz w:val="24"/>
          <w:szCs w:val="24"/>
          <w:bdr w:val="none" w:color="auto" w:sz="0" w:space="0"/>
          <w:shd w:val="clear" w:fill="FFFFFF"/>
        </w:rPr>
        <w:t>　　抄送：沿海、沿江各省、区、市人民政府办公厅，中国港口协会，交通运输部部属各单位、部内各司局。</w:t>
      </w:r>
    </w:p>
    <w:p/>
    <w:p/>
    <w:p/>
    <w:p/>
    <w:p/>
    <w:p>
      <w:pPr>
        <w:pStyle w:val="2"/>
        <w:snapToGrid w:val="0"/>
        <w:spacing w:before="0" w:beforeLines="0" w:after="156" w:afterLines="50" w:line="240" w:lineRule="auto"/>
        <w:jc w:val="left"/>
        <w:rPr>
          <w:rFonts w:hint="eastAsia"/>
        </w:rPr>
      </w:pPr>
      <w:r>
        <w:rPr>
          <w:rFonts w:hint="eastAsia"/>
        </w:rPr>
        <w:t>附件</w:t>
      </w:r>
    </w:p>
    <w:p>
      <w:pPr>
        <w:pStyle w:val="2"/>
        <w:snapToGrid w:val="0"/>
        <w:spacing w:before="0" w:beforeLines="0" w:after="156" w:afterLines="50" w:line="240" w:lineRule="auto"/>
        <w:rPr>
          <w:rFonts w:hint="eastAsia" w:ascii="方正小标宋_GBK" w:hAnsi="方正小标宋_GBK" w:eastAsia="方正小标宋_GBK"/>
        </w:rPr>
      </w:pPr>
      <w:r>
        <w:rPr>
          <w:rFonts w:hint="eastAsia" w:ascii="方正小标宋_GBK" w:hAnsi="方正小标宋_GBK" w:eastAsia="方正小标宋_GBK"/>
        </w:rPr>
        <w:t>港口发展指标体系</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9"/>
        <w:gridCol w:w="433"/>
        <w:gridCol w:w="1949"/>
        <w:gridCol w:w="2535"/>
        <w:gridCol w:w="33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blHeader/>
        </w:trPr>
        <w:tc>
          <w:tcPr>
            <w:tcW w:w="499" w:type="dxa"/>
            <w:noWrap w:val="0"/>
            <w:vAlign w:val="center"/>
          </w:tcPr>
          <w:p>
            <w:pPr>
              <w:snapToGrid w:val="0"/>
              <w:ind w:left="-80" w:leftChars="-38"/>
              <w:jc w:val="center"/>
              <w:rPr>
                <w:rFonts w:eastAsia="仿宋_GB2312"/>
                <w:b/>
                <w:sz w:val="28"/>
                <w:szCs w:val="28"/>
              </w:rPr>
            </w:pPr>
            <w:r>
              <w:rPr>
                <w:rFonts w:eastAsia="仿宋_GB2312"/>
                <w:b/>
                <w:sz w:val="28"/>
                <w:szCs w:val="28"/>
              </w:rPr>
              <w:t>类别</w:t>
            </w:r>
          </w:p>
        </w:tc>
        <w:tc>
          <w:tcPr>
            <w:tcW w:w="433" w:type="dxa"/>
            <w:noWrap w:val="0"/>
            <w:vAlign w:val="center"/>
          </w:tcPr>
          <w:p>
            <w:pPr>
              <w:snapToGrid w:val="0"/>
              <w:ind w:left="-84" w:leftChars="-40"/>
              <w:jc w:val="center"/>
              <w:rPr>
                <w:rFonts w:eastAsia="仿宋_GB2312"/>
                <w:b/>
                <w:sz w:val="28"/>
                <w:szCs w:val="28"/>
              </w:rPr>
            </w:pPr>
            <w:r>
              <w:rPr>
                <w:rFonts w:eastAsia="仿宋_GB2312"/>
                <w:b/>
                <w:sz w:val="28"/>
                <w:szCs w:val="28"/>
              </w:rPr>
              <w:t>序号</w:t>
            </w:r>
          </w:p>
        </w:tc>
        <w:tc>
          <w:tcPr>
            <w:tcW w:w="1949" w:type="dxa"/>
            <w:noWrap w:val="0"/>
            <w:vAlign w:val="center"/>
          </w:tcPr>
          <w:p>
            <w:pPr>
              <w:snapToGrid w:val="0"/>
              <w:ind w:left="-84" w:leftChars="-40"/>
              <w:jc w:val="center"/>
              <w:rPr>
                <w:rFonts w:eastAsia="仿宋_GB2312"/>
                <w:b/>
                <w:sz w:val="28"/>
                <w:szCs w:val="28"/>
              </w:rPr>
            </w:pPr>
            <w:r>
              <w:rPr>
                <w:rFonts w:eastAsia="仿宋_GB2312"/>
                <w:b/>
                <w:sz w:val="28"/>
                <w:szCs w:val="28"/>
              </w:rPr>
              <w:t>指标名称</w:t>
            </w:r>
          </w:p>
        </w:tc>
        <w:tc>
          <w:tcPr>
            <w:tcW w:w="2535" w:type="dxa"/>
            <w:noWrap w:val="0"/>
            <w:vAlign w:val="center"/>
          </w:tcPr>
          <w:p>
            <w:pPr>
              <w:snapToGrid w:val="0"/>
              <w:ind w:left="-84" w:leftChars="-40"/>
              <w:jc w:val="center"/>
              <w:rPr>
                <w:rFonts w:eastAsia="仿宋_GB2312"/>
                <w:b/>
                <w:sz w:val="28"/>
                <w:szCs w:val="28"/>
              </w:rPr>
            </w:pPr>
            <w:r>
              <w:rPr>
                <w:rFonts w:eastAsia="仿宋_GB2312"/>
                <w:b/>
                <w:sz w:val="28"/>
                <w:szCs w:val="28"/>
              </w:rPr>
              <w:t>指标内涵</w:t>
            </w:r>
          </w:p>
        </w:tc>
        <w:tc>
          <w:tcPr>
            <w:tcW w:w="3390" w:type="dxa"/>
            <w:noWrap w:val="0"/>
            <w:vAlign w:val="center"/>
          </w:tcPr>
          <w:p>
            <w:pPr>
              <w:snapToGrid w:val="0"/>
              <w:ind w:left="-84" w:leftChars="-40"/>
              <w:jc w:val="center"/>
              <w:rPr>
                <w:rFonts w:eastAsia="仿宋_GB2312"/>
                <w:b/>
                <w:sz w:val="28"/>
                <w:szCs w:val="28"/>
              </w:rPr>
            </w:pPr>
            <w:r>
              <w:rPr>
                <w:rFonts w:eastAsia="仿宋_GB2312"/>
                <w:b/>
                <w:sz w:val="28"/>
                <w:szCs w:val="28"/>
              </w:rPr>
              <w:t>评价说明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0" w:hRule="atLeast"/>
        </w:trPr>
        <w:tc>
          <w:tcPr>
            <w:tcW w:w="499" w:type="dxa"/>
            <w:vMerge w:val="restart"/>
            <w:noWrap w:val="0"/>
            <w:vAlign w:val="center"/>
          </w:tcPr>
          <w:p>
            <w:pPr>
              <w:snapToGrid w:val="0"/>
              <w:ind w:left="-80" w:leftChars="-38"/>
              <w:jc w:val="center"/>
              <w:rPr>
                <w:rFonts w:eastAsia="仿宋_GB2312"/>
                <w:b/>
                <w:sz w:val="28"/>
                <w:szCs w:val="28"/>
              </w:rPr>
            </w:pPr>
            <w:r>
              <w:rPr>
                <w:rFonts w:eastAsia="仿宋_GB2312"/>
                <w:b/>
                <w:sz w:val="28"/>
                <w:szCs w:val="28"/>
              </w:rPr>
              <w:t xml:space="preserve">安全便捷     </w:t>
            </w:r>
          </w:p>
        </w:tc>
        <w:tc>
          <w:tcPr>
            <w:tcW w:w="433" w:type="dxa"/>
            <w:noWrap w:val="0"/>
            <w:vAlign w:val="center"/>
          </w:tcPr>
          <w:p>
            <w:pPr>
              <w:snapToGrid w:val="0"/>
              <w:ind w:left="-84" w:leftChars="-40"/>
              <w:jc w:val="center"/>
              <w:rPr>
                <w:rFonts w:eastAsia="仿宋_GB2312"/>
                <w:b/>
                <w:sz w:val="28"/>
                <w:szCs w:val="28"/>
              </w:rPr>
            </w:pPr>
            <w:r>
              <w:rPr>
                <w:rFonts w:eastAsia="仿宋_GB2312"/>
                <w:b/>
                <w:sz w:val="28"/>
                <w:szCs w:val="28"/>
              </w:rPr>
              <w:t>1</w:t>
            </w:r>
          </w:p>
        </w:tc>
        <w:tc>
          <w:tcPr>
            <w:tcW w:w="1949" w:type="dxa"/>
            <w:noWrap w:val="0"/>
            <w:vAlign w:val="center"/>
          </w:tcPr>
          <w:p>
            <w:pPr>
              <w:adjustRightInd w:val="0"/>
              <w:snapToGrid w:val="0"/>
              <w:ind w:left="21" w:leftChars="10"/>
              <w:jc w:val="left"/>
              <w:rPr>
                <w:rFonts w:eastAsia="仿宋_GB2312"/>
                <w:color w:val="000000"/>
                <w:kern w:val="0"/>
                <w:sz w:val="28"/>
                <w:szCs w:val="28"/>
              </w:rPr>
            </w:pPr>
            <w:r>
              <w:rPr>
                <w:rFonts w:eastAsia="仿宋_GB2312"/>
                <w:color w:val="000000"/>
                <w:kern w:val="0"/>
                <w:sz w:val="28"/>
                <w:szCs w:val="28"/>
              </w:rPr>
              <w:t>风险分级管控与隐患排查治理双重预防体系建设水平</w:t>
            </w:r>
          </w:p>
        </w:tc>
        <w:tc>
          <w:tcPr>
            <w:tcW w:w="2535" w:type="dxa"/>
            <w:noWrap w:val="0"/>
            <w:vAlign w:val="center"/>
          </w:tcPr>
          <w:p>
            <w:pPr>
              <w:adjustRightInd w:val="0"/>
              <w:snapToGrid w:val="0"/>
              <w:ind w:left="21" w:leftChars="10"/>
              <w:jc w:val="left"/>
              <w:rPr>
                <w:rFonts w:eastAsia="仿宋_GB2312"/>
                <w:color w:val="000000"/>
                <w:kern w:val="0"/>
                <w:sz w:val="28"/>
                <w:szCs w:val="28"/>
              </w:rPr>
            </w:pPr>
            <w:r>
              <w:rPr>
                <w:rFonts w:eastAsia="仿宋_GB2312"/>
                <w:color w:val="000000"/>
                <w:kern w:val="0"/>
                <w:sz w:val="28"/>
                <w:szCs w:val="28"/>
              </w:rPr>
              <w:t>反映港口安全生产管理水平。</w:t>
            </w:r>
          </w:p>
        </w:tc>
        <w:tc>
          <w:tcPr>
            <w:tcW w:w="3390" w:type="dxa"/>
            <w:noWrap w:val="0"/>
            <w:vAlign w:val="center"/>
          </w:tcPr>
          <w:p>
            <w:pPr>
              <w:adjustRightInd w:val="0"/>
              <w:snapToGrid w:val="0"/>
              <w:ind w:left="21" w:leftChars="10"/>
              <w:jc w:val="left"/>
              <w:rPr>
                <w:rFonts w:eastAsia="仿宋_GB2312"/>
                <w:color w:val="000000"/>
                <w:kern w:val="0"/>
                <w:sz w:val="28"/>
                <w:szCs w:val="28"/>
              </w:rPr>
            </w:pPr>
            <w:r>
              <w:rPr>
                <w:rFonts w:eastAsia="仿宋_GB2312"/>
                <w:color w:val="000000"/>
                <w:kern w:val="0"/>
                <w:sz w:val="28"/>
                <w:szCs w:val="28"/>
              </w:rPr>
              <w:t>对港口风险分级管控和隐患排查治理的相关管理制度、人员配置等情况进行综合评价。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9" w:hRule="atLeast"/>
        </w:trPr>
        <w:tc>
          <w:tcPr>
            <w:tcW w:w="499" w:type="dxa"/>
            <w:vMerge w:val="continue"/>
            <w:noWrap w:val="0"/>
            <w:vAlign w:val="center"/>
          </w:tcPr>
          <w:p>
            <w:pPr>
              <w:snapToGrid w:val="0"/>
              <w:ind w:left="-80" w:leftChars="-38"/>
              <w:jc w:val="center"/>
              <w:rPr>
                <w:rFonts w:eastAsia="仿宋_GB2312"/>
                <w:b/>
                <w:sz w:val="28"/>
                <w:szCs w:val="28"/>
              </w:rPr>
            </w:pPr>
          </w:p>
        </w:tc>
        <w:tc>
          <w:tcPr>
            <w:tcW w:w="433" w:type="dxa"/>
            <w:noWrap w:val="0"/>
            <w:vAlign w:val="center"/>
          </w:tcPr>
          <w:p>
            <w:pPr>
              <w:snapToGrid w:val="0"/>
              <w:ind w:left="-84" w:leftChars="-40"/>
              <w:jc w:val="center"/>
              <w:rPr>
                <w:rFonts w:eastAsia="仿宋_GB2312"/>
                <w:b/>
                <w:sz w:val="28"/>
                <w:szCs w:val="28"/>
              </w:rPr>
            </w:pPr>
            <w:r>
              <w:rPr>
                <w:rFonts w:eastAsia="仿宋_GB2312"/>
                <w:b/>
                <w:sz w:val="28"/>
                <w:szCs w:val="28"/>
              </w:rPr>
              <w:t>2</w:t>
            </w:r>
          </w:p>
        </w:tc>
        <w:tc>
          <w:tcPr>
            <w:tcW w:w="1949" w:type="dxa"/>
            <w:noWrap w:val="0"/>
            <w:vAlign w:val="center"/>
          </w:tcPr>
          <w:p>
            <w:pPr>
              <w:adjustRightInd w:val="0"/>
              <w:snapToGrid w:val="0"/>
              <w:ind w:left="21" w:leftChars="10"/>
              <w:jc w:val="left"/>
              <w:rPr>
                <w:rFonts w:eastAsia="仿宋_GB2312"/>
                <w:color w:val="000000"/>
                <w:kern w:val="0"/>
                <w:sz w:val="28"/>
                <w:szCs w:val="28"/>
              </w:rPr>
            </w:pPr>
            <w:r>
              <w:rPr>
                <w:rFonts w:eastAsia="仿宋_GB2312"/>
                <w:color w:val="000000"/>
                <w:kern w:val="0"/>
                <w:sz w:val="28"/>
                <w:szCs w:val="28"/>
              </w:rPr>
              <w:t>百万吨吞吐量死亡率及经济损失</w:t>
            </w:r>
          </w:p>
        </w:tc>
        <w:tc>
          <w:tcPr>
            <w:tcW w:w="2535" w:type="dxa"/>
            <w:noWrap w:val="0"/>
            <w:vAlign w:val="center"/>
          </w:tcPr>
          <w:p>
            <w:pPr>
              <w:adjustRightInd w:val="0"/>
              <w:snapToGrid w:val="0"/>
              <w:ind w:left="21" w:leftChars="10"/>
              <w:jc w:val="left"/>
              <w:rPr>
                <w:rFonts w:eastAsia="仿宋_GB2312"/>
                <w:color w:val="000000"/>
                <w:kern w:val="0"/>
                <w:sz w:val="28"/>
                <w:szCs w:val="28"/>
              </w:rPr>
            </w:pPr>
            <w:r>
              <w:rPr>
                <w:rFonts w:eastAsia="仿宋_GB2312"/>
                <w:color w:val="000000"/>
                <w:kern w:val="0"/>
                <w:sz w:val="28"/>
                <w:szCs w:val="28"/>
              </w:rPr>
              <w:t>反映港口安全生产的最终结果。</w:t>
            </w:r>
          </w:p>
        </w:tc>
        <w:tc>
          <w:tcPr>
            <w:tcW w:w="3390" w:type="dxa"/>
            <w:noWrap w:val="0"/>
            <w:vAlign w:val="center"/>
          </w:tcPr>
          <w:p>
            <w:pPr>
              <w:adjustRightInd w:val="0"/>
              <w:snapToGrid w:val="0"/>
              <w:ind w:left="21" w:leftChars="10"/>
              <w:jc w:val="left"/>
              <w:rPr>
                <w:rFonts w:eastAsia="仿宋_GB2312"/>
                <w:color w:val="000000"/>
                <w:kern w:val="0"/>
                <w:sz w:val="28"/>
                <w:szCs w:val="28"/>
              </w:rPr>
            </w:pPr>
            <w:r>
              <w:rPr>
                <w:rFonts w:eastAsia="仿宋_GB2312"/>
                <w:color w:val="000000"/>
                <w:kern w:val="0"/>
                <w:sz w:val="28"/>
                <w:szCs w:val="28"/>
              </w:rPr>
              <w:t>由港口安全事故死亡人数（经济损失）与港口货物吞吐量的比值确定。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6" w:hRule="atLeast"/>
        </w:trPr>
        <w:tc>
          <w:tcPr>
            <w:tcW w:w="499" w:type="dxa"/>
            <w:vMerge w:val="continue"/>
            <w:noWrap w:val="0"/>
            <w:vAlign w:val="center"/>
          </w:tcPr>
          <w:p>
            <w:pPr>
              <w:snapToGrid w:val="0"/>
              <w:ind w:left="-80" w:leftChars="-38"/>
              <w:jc w:val="center"/>
              <w:rPr>
                <w:rFonts w:eastAsia="仿宋_GB2312"/>
                <w:b/>
                <w:sz w:val="28"/>
                <w:szCs w:val="28"/>
              </w:rPr>
            </w:pPr>
          </w:p>
        </w:tc>
        <w:tc>
          <w:tcPr>
            <w:tcW w:w="433" w:type="dxa"/>
            <w:noWrap w:val="0"/>
            <w:vAlign w:val="center"/>
          </w:tcPr>
          <w:p>
            <w:pPr>
              <w:snapToGrid w:val="0"/>
              <w:ind w:left="-84" w:leftChars="-40"/>
              <w:jc w:val="center"/>
              <w:rPr>
                <w:rFonts w:eastAsia="仿宋_GB2312"/>
                <w:b/>
                <w:sz w:val="28"/>
                <w:szCs w:val="28"/>
              </w:rPr>
            </w:pPr>
            <w:r>
              <w:rPr>
                <w:rFonts w:eastAsia="仿宋_GB2312"/>
                <w:b/>
                <w:sz w:val="28"/>
                <w:szCs w:val="28"/>
              </w:rPr>
              <w:t>3</w:t>
            </w:r>
          </w:p>
        </w:tc>
        <w:tc>
          <w:tcPr>
            <w:tcW w:w="1949" w:type="dxa"/>
            <w:noWrap w:val="0"/>
            <w:vAlign w:val="center"/>
          </w:tcPr>
          <w:p>
            <w:pPr>
              <w:adjustRightInd w:val="0"/>
              <w:snapToGrid w:val="0"/>
              <w:ind w:left="21" w:leftChars="10"/>
              <w:jc w:val="left"/>
              <w:rPr>
                <w:rFonts w:eastAsia="仿宋_GB2312"/>
                <w:color w:val="FF0000"/>
                <w:kern w:val="0"/>
                <w:sz w:val="28"/>
                <w:szCs w:val="28"/>
              </w:rPr>
            </w:pPr>
            <w:r>
              <w:rPr>
                <w:rFonts w:eastAsia="仿宋_GB2312"/>
                <w:color w:val="000000"/>
                <w:kern w:val="0"/>
                <w:sz w:val="28"/>
                <w:szCs w:val="28"/>
              </w:rPr>
              <w:t>运输便利化程度</w:t>
            </w:r>
          </w:p>
        </w:tc>
        <w:tc>
          <w:tcPr>
            <w:tcW w:w="2535" w:type="dxa"/>
            <w:noWrap w:val="0"/>
            <w:vAlign w:val="center"/>
          </w:tcPr>
          <w:p>
            <w:pPr>
              <w:adjustRightInd w:val="0"/>
              <w:snapToGrid w:val="0"/>
              <w:ind w:left="21" w:leftChars="10"/>
              <w:rPr>
                <w:rFonts w:eastAsia="仿宋_GB2312"/>
                <w:color w:val="FF0000"/>
                <w:kern w:val="0"/>
                <w:sz w:val="28"/>
                <w:szCs w:val="28"/>
              </w:rPr>
            </w:pPr>
            <w:r>
              <w:rPr>
                <w:rFonts w:eastAsia="仿宋_GB2312"/>
                <w:color w:val="000000"/>
                <w:kern w:val="0"/>
                <w:sz w:val="28"/>
                <w:szCs w:val="28"/>
              </w:rPr>
              <w:t>反映港口运输服务水平、口岸监管环节简化程度和流程优化程度。</w:t>
            </w:r>
          </w:p>
        </w:tc>
        <w:tc>
          <w:tcPr>
            <w:tcW w:w="3390" w:type="dxa"/>
            <w:noWrap w:val="0"/>
            <w:vAlign w:val="center"/>
          </w:tcPr>
          <w:p>
            <w:pPr>
              <w:adjustRightInd w:val="0"/>
              <w:snapToGrid w:val="0"/>
              <w:ind w:left="21" w:leftChars="10"/>
              <w:rPr>
                <w:rFonts w:eastAsia="仿宋_GB2312"/>
                <w:color w:val="FF0000"/>
                <w:kern w:val="0"/>
                <w:sz w:val="28"/>
                <w:szCs w:val="28"/>
              </w:rPr>
            </w:pPr>
            <w:r>
              <w:rPr>
                <w:rFonts w:eastAsia="仿宋_GB2312"/>
                <w:color w:val="000000"/>
                <w:kern w:val="0"/>
                <w:sz w:val="28"/>
                <w:szCs w:val="28"/>
              </w:rPr>
              <w:t>对作业单证电子化率、服务项目在线化率，以及单证合规和边境合规时间等情况综合评价。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3" w:hRule="atLeast"/>
        </w:trPr>
        <w:tc>
          <w:tcPr>
            <w:tcW w:w="499" w:type="dxa"/>
            <w:vMerge w:val="restart"/>
            <w:noWrap w:val="0"/>
            <w:vAlign w:val="center"/>
          </w:tcPr>
          <w:p>
            <w:pPr>
              <w:snapToGrid w:val="0"/>
              <w:ind w:left="-80" w:leftChars="-38"/>
              <w:jc w:val="center"/>
              <w:rPr>
                <w:rFonts w:eastAsia="仿宋_GB2312"/>
                <w:b/>
                <w:sz w:val="28"/>
                <w:szCs w:val="28"/>
              </w:rPr>
            </w:pPr>
          </w:p>
          <w:p>
            <w:pPr>
              <w:snapToGrid w:val="0"/>
              <w:ind w:left="-80" w:leftChars="-38"/>
              <w:jc w:val="center"/>
              <w:rPr>
                <w:rFonts w:eastAsia="仿宋_GB2312"/>
                <w:b/>
                <w:sz w:val="28"/>
                <w:szCs w:val="28"/>
              </w:rPr>
            </w:pPr>
          </w:p>
          <w:p>
            <w:pPr>
              <w:snapToGrid w:val="0"/>
              <w:ind w:left="-80" w:leftChars="-38"/>
              <w:jc w:val="center"/>
              <w:rPr>
                <w:rFonts w:eastAsia="仿宋_GB2312"/>
                <w:b/>
                <w:sz w:val="28"/>
                <w:szCs w:val="28"/>
              </w:rPr>
            </w:pPr>
            <w:r>
              <w:rPr>
                <w:rFonts w:eastAsia="仿宋_GB2312"/>
                <w:b/>
                <w:sz w:val="28"/>
                <w:szCs w:val="28"/>
              </w:rPr>
              <w:t>智慧绿色</w:t>
            </w:r>
          </w:p>
        </w:tc>
        <w:tc>
          <w:tcPr>
            <w:tcW w:w="433" w:type="dxa"/>
            <w:noWrap w:val="0"/>
            <w:vAlign w:val="center"/>
          </w:tcPr>
          <w:p>
            <w:pPr>
              <w:snapToGrid w:val="0"/>
              <w:ind w:left="-84" w:leftChars="-40"/>
              <w:jc w:val="center"/>
              <w:rPr>
                <w:rFonts w:eastAsia="仿宋_GB2312"/>
                <w:b/>
                <w:sz w:val="28"/>
                <w:szCs w:val="28"/>
              </w:rPr>
            </w:pPr>
            <w:r>
              <w:rPr>
                <w:rFonts w:eastAsia="仿宋_GB2312"/>
                <w:b/>
                <w:sz w:val="28"/>
                <w:szCs w:val="28"/>
              </w:rPr>
              <w:t>4</w:t>
            </w:r>
          </w:p>
        </w:tc>
        <w:tc>
          <w:tcPr>
            <w:tcW w:w="1949" w:type="dxa"/>
            <w:noWrap w:val="0"/>
            <w:vAlign w:val="center"/>
          </w:tcPr>
          <w:p>
            <w:pPr>
              <w:adjustRightInd w:val="0"/>
              <w:snapToGrid w:val="0"/>
              <w:ind w:left="21" w:leftChars="10"/>
              <w:jc w:val="left"/>
              <w:rPr>
                <w:rFonts w:eastAsia="仿宋_GB2312"/>
                <w:color w:val="000000"/>
                <w:kern w:val="0"/>
                <w:sz w:val="28"/>
                <w:szCs w:val="28"/>
              </w:rPr>
            </w:pPr>
            <w:bookmarkStart w:id="0" w:name="_Hlk10478121"/>
            <w:r>
              <w:rPr>
                <w:rFonts w:eastAsia="仿宋_GB2312"/>
                <w:color w:val="000000"/>
                <w:kern w:val="0"/>
                <w:sz w:val="28"/>
                <w:szCs w:val="28"/>
              </w:rPr>
              <w:t>码头新技术应用及自主可控水平</w:t>
            </w:r>
            <w:bookmarkEnd w:id="0"/>
          </w:p>
        </w:tc>
        <w:tc>
          <w:tcPr>
            <w:tcW w:w="2535" w:type="dxa"/>
            <w:noWrap w:val="0"/>
            <w:vAlign w:val="center"/>
          </w:tcPr>
          <w:p>
            <w:pPr>
              <w:adjustRightInd w:val="0"/>
              <w:snapToGrid w:val="0"/>
              <w:ind w:left="21" w:leftChars="10"/>
              <w:rPr>
                <w:rFonts w:eastAsia="仿宋_GB2312"/>
                <w:color w:val="000000"/>
                <w:kern w:val="0"/>
                <w:sz w:val="28"/>
                <w:szCs w:val="28"/>
              </w:rPr>
            </w:pPr>
            <w:bookmarkStart w:id="1" w:name="_Hlk10478135"/>
            <w:r>
              <w:rPr>
                <w:rFonts w:eastAsia="仿宋_GB2312"/>
                <w:color w:val="000000"/>
                <w:kern w:val="0"/>
                <w:sz w:val="28"/>
                <w:szCs w:val="28"/>
              </w:rPr>
              <w:t>反映码头自动化程度和5G、北斗、区块链等新技术在</w:t>
            </w:r>
            <w:bookmarkEnd w:id="1"/>
            <w:r>
              <w:rPr>
                <w:rFonts w:eastAsia="仿宋_GB2312"/>
                <w:color w:val="000000"/>
                <w:kern w:val="0"/>
                <w:sz w:val="28"/>
                <w:szCs w:val="28"/>
              </w:rPr>
              <w:t>港口设计、建设、运营中的应用水平及相关核心技术自主可控程度。</w:t>
            </w:r>
          </w:p>
        </w:tc>
        <w:tc>
          <w:tcPr>
            <w:tcW w:w="3390" w:type="dxa"/>
            <w:noWrap w:val="0"/>
            <w:vAlign w:val="center"/>
          </w:tcPr>
          <w:p>
            <w:pPr>
              <w:adjustRightInd w:val="0"/>
              <w:snapToGrid w:val="0"/>
              <w:ind w:left="21" w:leftChars="10"/>
              <w:rPr>
                <w:rFonts w:eastAsia="仿宋_GB2312"/>
                <w:color w:val="000000"/>
                <w:kern w:val="0"/>
                <w:sz w:val="28"/>
                <w:szCs w:val="28"/>
              </w:rPr>
            </w:pPr>
            <w:r>
              <w:rPr>
                <w:rFonts w:eastAsia="仿宋_GB2312"/>
                <w:color w:val="000000"/>
                <w:kern w:val="0"/>
                <w:sz w:val="28"/>
                <w:szCs w:val="28"/>
              </w:rPr>
              <w:t>对码头设计、建设、运营领域新技术应用程度、自动化设备设施数量和比例、设施设备在线实时监控数量和比例，以及相关技术自主可控程度等情况综合评价。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8" w:hRule="atLeast"/>
        </w:trPr>
        <w:tc>
          <w:tcPr>
            <w:tcW w:w="499" w:type="dxa"/>
            <w:vMerge w:val="continue"/>
            <w:noWrap w:val="0"/>
            <w:vAlign w:val="center"/>
          </w:tcPr>
          <w:p>
            <w:pPr>
              <w:snapToGrid w:val="0"/>
              <w:ind w:left="-80" w:leftChars="-38"/>
              <w:jc w:val="center"/>
              <w:rPr>
                <w:rFonts w:eastAsia="仿宋_GB2312"/>
                <w:b/>
                <w:sz w:val="28"/>
                <w:szCs w:val="28"/>
              </w:rPr>
            </w:pPr>
          </w:p>
        </w:tc>
        <w:tc>
          <w:tcPr>
            <w:tcW w:w="433" w:type="dxa"/>
            <w:noWrap w:val="0"/>
            <w:vAlign w:val="center"/>
          </w:tcPr>
          <w:p>
            <w:pPr>
              <w:snapToGrid w:val="0"/>
              <w:ind w:left="-84" w:leftChars="-40"/>
              <w:jc w:val="center"/>
              <w:rPr>
                <w:rFonts w:eastAsia="仿宋_GB2312"/>
                <w:b/>
                <w:sz w:val="28"/>
                <w:szCs w:val="28"/>
              </w:rPr>
            </w:pPr>
            <w:r>
              <w:rPr>
                <w:rFonts w:eastAsia="仿宋_GB2312"/>
                <w:b/>
                <w:sz w:val="28"/>
                <w:szCs w:val="28"/>
              </w:rPr>
              <w:t>5</w:t>
            </w:r>
          </w:p>
        </w:tc>
        <w:tc>
          <w:tcPr>
            <w:tcW w:w="1949" w:type="dxa"/>
            <w:noWrap w:val="0"/>
            <w:vAlign w:val="center"/>
          </w:tcPr>
          <w:p>
            <w:pPr>
              <w:adjustRightInd w:val="0"/>
              <w:snapToGrid w:val="0"/>
              <w:ind w:left="21" w:leftChars="10"/>
              <w:jc w:val="left"/>
              <w:rPr>
                <w:rFonts w:eastAsia="仿宋_GB2312"/>
                <w:color w:val="000000"/>
                <w:kern w:val="0"/>
                <w:sz w:val="28"/>
                <w:szCs w:val="28"/>
              </w:rPr>
            </w:pPr>
            <w:r>
              <w:rPr>
                <w:rFonts w:eastAsia="仿宋_GB2312"/>
                <w:color w:val="000000"/>
                <w:kern w:val="0"/>
                <w:sz w:val="28"/>
                <w:szCs w:val="28"/>
              </w:rPr>
              <w:t>港口物流智能化程度</w:t>
            </w:r>
          </w:p>
        </w:tc>
        <w:tc>
          <w:tcPr>
            <w:tcW w:w="2535" w:type="dxa"/>
            <w:noWrap w:val="0"/>
            <w:vAlign w:val="center"/>
          </w:tcPr>
          <w:p>
            <w:pPr>
              <w:adjustRightInd w:val="0"/>
              <w:snapToGrid w:val="0"/>
              <w:ind w:left="21" w:leftChars="10"/>
              <w:rPr>
                <w:rFonts w:eastAsia="仿宋_GB2312"/>
                <w:color w:val="000000"/>
                <w:kern w:val="0"/>
                <w:sz w:val="28"/>
                <w:szCs w:val="28"/>
              </w:rPr>
            </w:pPr>
            <w:r>
              <w:rPr>
                <w:rFonts w:eastAsia="仿宋_GB2312"/>
                <w:color w:val="000000"/>
                <w:kern w:val="0"/>
                <w:sz w:val="28"/>
                <w:szCs w:val="28"/>
              </w:rPr>
              <w:t>反映港口仓储、集疏运系统自动化、数字化、智能化水平。</w:t>
            </w:r>
          </w:p>
        </w:tc>
        <w:tc>
          <w:tcPr>
            <w:tcW w:w="3390" w:type="dxa"/>
            <w:noWrap w:val="0"/>
            <w:vAlign w:val="center"/>
          </w:tcPr>
          <w:p>
            <w:pPr>
              <w:adjustRightInd w:val="0"/>
              <w:snapToGrid w:val="0"/>
              <w:ind w:left="21" w:leftChars="10"/>
              <w:rPr>
                <w:rFonts w:eastAsia="仿宋_GB2312"/>
                <w:color w:val="000000"/>
                <w:kern w:val="0"/>
                <w:sz w:val="28"/>
                <w:szCs w:val="28"/>
              </w:rPr>
            </w:pPr>
            <w:r>
              <w:rPr>
                <w:rFonts w:eastAsia="仿宋_GB2312"/>
                <w:color w:val="000000"/>
                <w:kern w:val="0"/>
                <w:sz w:val="28"/>
                <w:szCs w:val="28"/>
              </w:rPr>
              <w:t>对港口仓储控制、管理系统的智能化程度，以及智能闸口、无人驾驶集疏运车辆应用、智能化集疏运调度等情况综合评价。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8" w:hRule="atLeast"/>
        </w:trPr>
        <w:tc>
          <w:tcPr>
            <w:tcW w:w="499" w:type="dxa"/>
            <w:vMerge w:val="continue"/>
            <w:noWrap w:val="0"/>
            <w:vAlign w:val="center"/>
          </w:tcPr>
          <w:p>
            <w:pPr>
              <w:snapToGrid w:val="0"/>
              <w:ind w:left="-80" w:leftChars="-38"/>
              <w:jc w:val="center"/>
              <w:rPr>
                <w:rFonts w:eastAsia="仿宋_GB2312"/>
                <w:b/>
                <w:sz w:val="28"/>
                <w:szCs w:val="28"/>
              </w:rPr>
            </w:pPr>
          </w:p>
        </w:tc>
        <w:tc>
          <w:tcPr>
            <w:tcW w:w="433" w:type="dxa"/>
            <w:noWrap w:val="0"/>
            <w:vAlign w:val="center"/>
          </w:tcPr>
          <w:p>
            <w:pPr>
              <w:snapToGrid w:val="0"/>
              <w:ind w:left="-84" w:leftChars="-40"/>
              <w:jc w:val="center"/>
              <w:rPr>
                <w:rFonts w:eastAsia="仿宋_GB2312"/>
                <w:b/>
                <w:sz w:val="28"/>
                <w:szCs w:val="28"/>
              </w:rPr>
            </w:pPr>
            <w:r>
              <w:rPr>
                <w:rFonts w:eastAsia="仿宋_GB2312"/>
                <w:b/>
                <w:sz w:val="28"/>
                <w:szCs w:val="28"/>
              </w:rPr>
              <w:t>6</w:t>
            </w:r>
          </w:p>
        </w:tc>
        <w:tc>
          <w:tcPr>
            <w:tcW w:w="1949" w:type="dxa"/>
            <w:noWrap w:val="0"/>
            <w:vAlign w:val="center"/>
          </w:tcPr>
          <w:p>
            <w:pPr>
              <w:adjustRightInd w:val="0"/>
              <w:snapToGrid w:val="0"/>
              <w:ind w:left="21" w:leftChars="10"/>
              <w:jc w:val="left"/>
              <w:rPr>
                <w:rFonts w:eastAsia="仿宋_GB2312"/>
                <w:color w:val="000000"/>
                <w:kern w:val="0"/>
                <w:sz w:val="28"/>
                <w:szCs w:val="28"/>
              </w:rPr>
            </w:pPr>
            <w:bookmarkStart w:id="2" w:name="_Hlk10481362"/>
            <w:r>
              <w:rPr>
                <w:rFonts w:eastAsia="仿宋_GB2312"/>
                <w:color w:val="000000"/>
                <w:kern w:val="0"/>
                <w:sz w:val="28"/>
                <w:szCs w:val="28"/>
              </w:rPr>
              <w:t>港口铁路、水路、管道集疏运比重</w:t>
            </w:r>
            <w:bookmarkEnd w:id="2"/>
          </w:p>
        </w:tc>
        <w:tc>
          <w:tcPr>
            <w:tcW w:w="2535" w:type="dxa"/>
            <w:noWrap w:val="0"/>
            <w:vAlign w:val="center"/>
          </w:tcPr>
          <w:p>
            <w:pPr>
              <w:adjustRightInd w:val="0"/>
              <w:snapToGrid w:val="0"/>
              <w:ind w:left="21" w:leftChars="10"/>
              <w:rPr>
                <w:rFonts w:eastAsia="仿宋_GB2312"/>
                <w:color w:val="000000"/>
                <w:kern w:val="0"/>
                <w:sz w:val="28"/>
                <w:szCs w:val="28"/>
              </w:rPr>
            </w:pPr>
            <w:r>
              <w:rPr>
                <w:rFonts w:eastAsia="仿宋_GB2312"/>
                <w:color w:val="000000"/>
                <w:kern w:val="0"/>
                <w:sz w:val="28"/>
                <w:szCs w:val="28"/>
              </w:rPr>
              <w:t>反映港口集疏运体系通过结构化减排实现绿色发展的水平。</w:t>
            </w:r>
          </w:p>
        </w:tc>
        <w:tc>
          <w:tcPr>
            <w:tcW w:w="3390" w:type="dxa"/>
            <w:noWrap w:val="0"/>
            <w:vAlign w:val="center"/>
          </w:tcPr>
          <w:p>
            <w:pPr>
              <w:adjustRightInd w:val="0"/>
              <w:snapToGrid w:val="0"/>
              <w:ind w:left="21" w:leftChars="10"/>
              <w:rPr>
                <w:rFonts w:eastAsia="仿宋_GB2312"/>
                <w:color w:val="000000"/>
                <w:kern w:val="0"/>
                <w:sz w:val="28"/>
                <w:szCs w:val="28"/>
              </w:rPr>
            </w:pPr>
            <w:bookmarkStart w:id="3" w:name="_Hlk10481383"/>
            <w:r>
              <w:rPr>
                <w:rFonts w:eastAsia="仿宋_GB2312"/>
                <w:color w:val="000000"/>
                <w:kern w:val="0"/>
                <w:sz w:val="28"/>
                <w:szCs w:val="28"/>
              </w:rPr>
              <w:t>由铁路、水路、管道集疏运量占港口</w:t>
            </w:r>
            <w:bookmarkEnd w:id="3"/>
            <w:r>
              <w:rPr>
                <w:rFonts w:eastAsia="仿宋_GB2312"/>
                <w:color w:val="000000"/>
                <w:kern w:val="0"/>
                <w:sz w:val="28"/>
                <w:szCs w:val="28"/>
              </w:rPr>
              <w:t>集疏运总量的比重确定。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7" w:hRule="atLeast"/>
        </w:trPr>
        <w:tc>
          <w:tcPr>
            <w:tcW w:w="499" w:type="dxa"/>
            <w:vMerge w:val="continue"/>
            <w:noWrap w:val="0"/>
            <w:vAlign w:val="center"/>
          </w:tcPr>
          <w:p>
            <w:pPr>
              <w:snapToGrid w:val="0"/>
              <w:ind w:left="-80" w:leftChars="-38"/>
              <w:jc w:val="center"/>
              <w:rPr>
                <w:rFonts w:eastAsia="仿宋_GB2312"/>
                <w:b/>
                <w:sz w:val="28"/>
                <w:szCs w:val="28"/>
              </w:rPr>
            </w:pPr>
          </w:p>
        </w:tc>
        <w:tc>
          <w:tcPr>
            <w:tcW w:w="433" w:type="dxa"/>
            <w:noWrap w:val="0"/>
            <w:vAlign w:val="center"/>
          </w:tcPr>
          <w:p>
            <w:pPr>
              <w:snapToGrid w:val="0"/>
              <w:ind w:left="-84" w:leftChars="-40"/>
              <w:jc w:val="center"/>
              <w:rPr>
                <w:rFonts w:eastAsia="仿宋_GB2312"/>
                <w:b/>
                <w:sz w:val="28"/>
                <w:szCs w:val="28"/>
              </w:rPr>
            </w:pPr>
            <w:r>
              <w:rPr>
                <w:rFonts w:eastAsia="仿宋_GB2312"/>
                <w:b/>
                <w:sz w:val="28"/>
                <w:szCs w:val="28"/>
              </w:rPr>
              <w:t>7</w:t>
            </w:r>
          </w:p>
        </w:tc>
        <w:tc>
          <w:tcPr>
            <w:tcW w:w="1949" w:type="dxa"/>
            <w:noWrap w:val="0"/>
            <w:vAlign w:val="center"/>
          </w:tcPr>
          <w:p>
            <w:pPr>
              <w:adjustRightInd w:val="0"/>
              <w:snapToGrid w:val="0"/>
              <w:ind w:left="21" w:leftChars="10"/>
              <w:jc w:val="left"/>
              <w:rPr>
                <w:rFonts w:eastAsia="仿宋_GB2312"/>
                <w:color w:val="000000"/>
                <w:kern w:val="0"/>
                <w:sz w:val="28"/>
                <w:szCs w:val="28"/>
              </w:rPr>
            </w:pPr>
            <w:r>
              <w:rPr>
                <w:rFonts w:eastAsia="仿宋_GB2312"/>
                <w:color w:val="000000"/>
                <w:kern w:val="0"/>
                <w:sz w:val="28"/>
                <w:szCs w:val="28"/>
              </w:rPr>
              <w:t>港口污染防治水平</w:t>
            </w:r>
          </w:p>
        </w:tc>
        <w:tc>
          <w:tcPr>
            <w:tcW w:w="2535" w:type="dxa"/>
            <w:noWrap w:val="0"/>
            <w:vAlign w:val="center"/>
          </w:tcPr>
          <w:p>
            <w:pPr>
              <w:adjustRightInd w:val="0"/>
              <w:snapToGrid w:val="0"/>
              <w:ind w:left="21" w:leftChars="10"/>
              <w:jc w:val="left"/>
              <w:rPr>
                <w:rFonts w:eastAsia="仿宋_GB2312"/>
                <w:color w:val="000000"/>
                <w:kern w:val="0"/>
                <w:sz w:val="28"/>
                <w:szCs w:val="28"/>
              </w:rPr>
            </w:pPr>
            <w:r>
              <w:rPr>
                <w:rFonts w:eastAsia="仿宋_GB2312"/>
                <w:color w:val="000000"/>
                <w:kern w:val="0"/>
                <w:sz w:val="28"/>
                <w:szCs w:val="28"/>
              </w:rPr>
              <w:t>反映港口大气、水等污染防治水平和能源消费结构优化成效。</w:t>
            </w:r>
          </w:p>
        </w:tc>
        <w:tc>
          <w:tcPr>
            <w:tcW w:w="3390" w:type="dxa"/>
            <w:noWrap w:val="0"/>
            <w:vAlign w:val="center"/>
          </w:tcPr>
          <w:p>
            <w:pPr>
              <w:adjustRightInd w:val="0"/>
              <w:snapToGrid w:val="0"/>
              <w:ind w:left="21" w:leftChars="10"/>
              <w:jc w:val="left"/>
              <w:rPr>
                <w:rFonts w:eastAsia="仿宋_GB2312"/>
                <w:color w:val="000000"/>
                <w:kern w:val="0"/>
                <w:sz w:val="28"/>
                <w:szCs w:val="28"/>
              </w:rPr>
            </w:pPr>
            <w:r>
              <w:rPr>
                <w:rFonts w:eastAsia="仿宋_GB2312"/>
                <w:color w:val="000000"/>
                <w:kern w:val="0"/>
                <w:sz w:val="28"/>
                <w:szCs w:val="28"/>
              </w:rPr>
              <w:t>由港口单位货物吞吐量所产生的主要污染物排放量和新能源、清洁能源消耗量占港口综合能源消耗总量的比重确定。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7" w:hRule="atLeast"/>
        </w:trPr>
        <w:tc>
          <w:tcPr>
            <w:tcW w:w="499" w:type="dxa"/>
            <w:vMerge w:val="restart"/>
            <w:noWrap w:val="0"/>
            <w:vAlign w:val="center"/>
          </w:tcPr>
          <w:p>
            <w:pPr>
              <w:snapToGrid w:val="0"/>
              <w:ind w:left="-80" w:leftChars="-38"/>
              <w:jc w:val="center"/>
              <w:rPr>
                <w:rFonts w:eastAsia="仿宋_GB2312"/>
                <w:b/>
                <w:sz w:val="28"/>
                <w:szCs w:val="28"/>
              </w:rPr>
            </w:pPr>
            <w:r>
              <w:rPr>
                <w:rFonts w:eastAsia="仿宋_GB2312"/>
                <w:b/>
                <w:sz w:val="28"/>
                <w:szCs w:val="28"/>
              </w:rPr>
              <w:t>经济高效</w:t>
            </w:r>
          </w:p>
        </w:tc>
        <w:tc>
          <w:tcPr>
            <w:tcW w:w="433" w:type="dxa"/>
            <w:noWrap w:val="0"/>
            <w:vAlign w:val="center"/>
          </w:tcPr>
          <w:p>
            <w:pPr>
              <w:snapToGrid w:val="0"/>
              <w:ind w:left="-84" w:leftChars="-40"/>
              <w:jc w:val="center"/>
              <w:rPr>
                <w:rFonts w:eastAsia="仿宋_GB2312"/>
                <w:b/>
                <w:sz w:val="28"/>
                <w:szCs w:val="28"/>
              </w:rPr>
            </w:pPr>
            <w:r>
              <w:rPr>
                <w:rFonts w:eastAsia="仿宋_GB2312"/>
                <w:b/>
                <w:sz w:val="28"/>
                <w:szCs w:val="28"/>
              </w:rPr>
              <w:t>8</w:t>
            </w:r>
          </w:p>
        </w:tc>
        <w:tc>
          <w:tcPr>
            <w:tcW w:w="1949" w:type="dxa"/>
            <w:noWrap w:val="0"/>
            <w:vAlign w:val="center"/>
          </w:tcPr>
          <w:p>
            <w:pPr>
              <w:adjustRightInd w:val="0"/>
              <w:snapToGrid w:val="0"/>
              <w:ind w:left="21" w:leftChars="10"/>
              <w:jc w:val="left"/>
              <w:rPr>
                <w:rFonts w:eastAsia="仿宋_GB2312"/>
                <w:color w:val="000000"/>
                <w:kern w:val="0"/>
                <w:sz w:val="28"/>
                <w:szCs w:val="28"/>
              </w:rPr>
            </w:pPr>
            <w:r>
              <w:rPr>
                <w:rFonts w:eastAsia="仿宋_GB2312"/>
                <w:color w:val="000000"/>
                <w:kern w:val="0"/>
                <w:sz w:val="28"/>
                <w:szCs w:val="28"/>
              </w:rPr>
              <w:t>口岸综合成本</w:t>
            </w:r>
          </w:p>
        </w:tc>
        <w:tc>
          <w:tcPr>
            <w:tcW w:w="2535" w:type="dxa"/>
            <w:noWrap w:val="0"/>
            <w:vAlign w:val="center"/>
          </w:tcPr>
          <w:p>
            <w:pPr>
              <w:adjustRightInd w:val="0"/>
              <w:snapToGrid w:val="0"/>
              <w:ind w:left="21" w:leftChars="10"/>
              <w:rPr>
                <w:rFonts w:eastAsia="仿宋_GB2312"/>
                <w:color w:val="000000"/>
                <w:kern w:val="0"/>
                <w:sz w:val="28"/>
                <w:szCs w:val="28"/>
              </w:rPr>
            </w:pPr>
            <w:r>
              <w:rPr>
                <w:rFonts w:eastAsia="仿宋_GB2312"/>
                <w:color w:val="000000"/>
                <w:kern w:val="0"/>
                <w:sz w:val="28"/>
                <w:szCs w:val="28"/>
              </w:rPr>
              <w:t>反映单证合规成本、边境合规成本、其他口岸收费等口岸综合成本。</w:t>
            </w:r>
          </w:p>
        </w:tc>
        <w:tc>
          <w:tcPr>
            <w:tcW w:w="3390" w:type="dxa"/>
            <w:noWrap w:val="0"/>
            <w:vAlign w:val="center"/>
          </w:tcPr>
          <w:p>
            <w:pPr>
              <w:adjustRightInd w:val="0"/>
              <w:snapToGrid w:val="0"/>
              <w:ind w:left="21" w:leftChars="10"/>
              <w:rPr>
                <w:rFonts w:eastAsia="仿宋_GB2312"/>
                <w:color w:val="000000"/>
                <w:kern w:val="0"/>
                <w:sz w:val="28"/>
                <w:szCs w:val="28"/>
              </w:rPr>
            </w:pPr>
            <w:r>
              <w:rPr>
                <w:rFonts w:eastAsia="仿宋_GB2312"/>
                <w:color w:val="000000"/>
                <w:kern w:val="0"/>
                <w:sz w:val="28"/>
                <w:szCs w:val="28"/>
              </w:rPr>
              <w:t>对口岸收费项目透明化程度、收费标准、单证合规和边境合规成本等情况综合评价。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trPr>
        <w:tc>
          <w:tcPr>
            <w:tcW w:w="499" w:type="dxa"/>
            <w:vMerge w:val="continue"/>
            <w:noWrap w:val="0"/>
            <w:vAlign w:val="center"/>
          </w:tcPr>
          <w:p>
            <w:pPr>
              <w:snapToGrid w:val="0"/>
              <w:ind w:left="-80" w:leftChars="-38"/>
              <w:jc w:val="center"/>
              <w:rPr>
                <w:rFonts w:eastAsia="仿宋_GB2312"/>
                <w:b/>
                <w:sz w:val="28"/>
                <w:szCs w:val="28"/>
              </w:rPr>
            </w:pPr>
          </w:p>
        </w:tc>
        <w:tc>
          <w:tcPr>
            <w:tcW w:w="433" w:type="dxa"/>
            <w:noWrap w:val="0"/>
            <w:vAlign w:val="center"/>
          </w:tcPr>
          <w:p>
            <w:pPr>
              <w:snapToGrid w:val="0"/>
              <w:ind w:left="-84" w:leftChars="-40"/>
              <w:jc w:val="center"/>
              <w:rPr>
                <w:rFonts w:eastAsia="仿宋_GB2312"/>
                <w:b/>
                <w:sz w:val="28"/>
                <w:szCs w:val="28"/>
              </w:rPr>
            </w:pPr>
            <w:r>
              <w:rPr>
                <w:rFonts w:eastAsia="仿宋_GB2312"/>
                <w:b/>
                <w:sz w:val="28"/>
                <w:szCs w:val="28"/>
              </w:rPr>
              <w:t>9</w:t>
            </w:r>
          </w:p>
        </w:tc>
        <w:tc>
          <w:tcPr>
            <w:tcW w:w="1949" w:type="dxa"/>
            <w:noWrap w:val="0"/>
            <w:vAlign w:val="center"/>
          </w:tcPr>
          <w:p>
            <w:pPr>
              <w:adjustRightInd w:val="0"/>
              <w:snapToGrid w:val="0"/>
              <w:ind w:left="21" w:leftChars="10"/>
              <w:jc w:val="left"/>
              <w:rPr>
                <w:rFonts w:eastAsia="仿宋_GB2312"/>
                <w:color w:val="000000"/>
                <w:kern w:val="0"/>
                <w:sz w:val="28"/>
                <w:szCs w:val="28"/>
              </w:rPr>
            </w:pPr>
            <w:bookmarkStart w:id="4" w:name="_Hlk10481438"/>
            <w:r>
              <w:rPr>
                <w:rFonts w:eastAsia="仿宋_GB2312"/>
                <w:color w:val="000000"/>
                <w:kern w:val="0"/>
                <w:sz w:val="28"/>
                <w:szCs w:val="28"/>
              </w:rPr>
              <w:t>港口作业效率</w:t>
            </w:r>
            <w:bookmarkEnd w:id="4"/>
          </w:p>
        </w:tc>
        <w:tc>
          <w:tcPr>
            <w:tcW w:w="2535" w:type="dxa"/>
            <w:noWrap w:val="0"/>
            <w:vAlign w:val="center"/>
          </w:tcPr>
          <w:p>
            <w:pPr>
              <w:adjustRightInd w:val="0"/>
              <w:snapToGrid w:val="0"/>
              <w:ind w:left="21" w:leftChars="10"/>
              <w:rPr>
                <w:rFonts w:eastAsia="仿宋_GB2312"/>
                <w:color w:val="000000"/>
                <w:kern w:val="0"/>
                <w:sz w:val="28"/>
                <w:szCs w:val="28"/>
              </w:rPr>
            </w:pPr>
            <w:bookmarkStart w:id="5" w:name="_Hlk10481457"/>
            <w:r>
              <w:rPr>
                <w:rFonts w:eastAsia="仿宋_GB2312"/>
                <w:color w:val="000000"/>
                <w:kern w:val="0"/>
                <w:sz w:val="28"/>
                <w:szCs w:val="28"/>
              </w:rPr>
              <w:t>反映码头装卸效率和船舶在港平均停留时间。</w:t>
            </w:r>
            <w:bookmarkEnd w:id="5"/>
          </w:p>
        </w:tc>
        <w:tc>
          <w:tcPr>
            <w:tcW w:w="3390" w:type="dxa"/>
            <w:noWrap w:val="0"/>
            <w:vAlign w:val="center"/>
          </w:tcPr>
          <w:p>
            <w:pPr>
              <w:adjustRightInd w:val="0"/>
              <w:snapToGrid w:val="0"/>
              <w:ind w:left="21" w:leftChars="10"/>
              <w:rPr>
                <w:rFonts w:eastAsia="仿宋_GB2312"/>
                <w:color w:val="000000"/>
                <w:kern w:val="0"/>
                <w:sz w:val="28"/>
                <w:szCs w:val="28"/>
              </w:rPr>
            </w:pPr>
            <w:r>
              <w:rPr>
                <w:rFonts w:eastAsia="仿宋_GB2312"/>
                <w:color w:val="000000"/>
                <w:kern w:val="0"/>
                <w:sz w:val="28"/>
                <w:szCs w:val="28"/>
              </w:rPr>
              <w:t>对码头单机效率、单船效率、旅客上下船效率，以及船舶进出港平均停时等情况综合评价。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5" w:hRule="atLeast"/>
        </w:trPr>
        <w:tc>
          <w:tcPr>
            <w:tcW w:w="499" w:type="dxa"/>
            <w:vMerge w:val="continue"/>
            <w:tcBorders>
              <w:bottom w:val="single" w:color="auto" w:sz="4" w:space="0"/>
            </w:tcBorders>
            <w:noWrap w:val="0"/>
            <w:vAlign w:val="center"/>
          </w:tcPr>
          <w:p>
            <w:pPr>
              <w:snapToGrid w:val="0"/>
              <w:ind w:left="-80" w:leftChars="-38"/>
              <w:jc w:val="center"/>
              <w:rPr>
                <w:rFonts w:eastAsia="仿宋_GB2312"/>
                <w:b/>
                <w:sz w:val="28"/>
                <w:szCs w:val="28"/>
              </w:rPr>
            </w:pPr>
          </w:p>
        </w:tc>
        <w:tc>
          <w:tcPr>
            <w:tcW w:w="433" w:type="dxa"/>
            <w:tcBorders>
              <w:bottom w:val="single" w:color="auto" w:sz="4" w:space="0"/>
            </w:tcBorders>
            <w:noWrap w:val="0"/>
            <w:vAlign w:val="center"/>
          </w:tcPr>
          <w:p>
            <w:pPr>
              <w:snapToGrid w:val="0"/>
              <w:ind w:left="-84" w:leftChars="-40"/>
              <w:jc w:val="center"/>
              <w:rPr>
                <w:rFonts w:eastAsia="仿宋_GB2312"/>
                <w:b/>
                <w:sz w:val="28"/>
                <w:szCs w:val="28"/>
              </w:rPr>
            </w:pPr>
            <w:r>
              <w:rPr>
                <w:rFonts w:eastAsia="仿宋_GB2312"/>
                <w:b/>
                <w:sz w:val="28"/>
                <w:szCs w:val="28"/>
              </w:rPr>
              <w:t>10</w:t>
            </w:r>
          </w:p>
        </w:tc>
        <w:tc>
          <w:tcPr>
            <w:tcW w:w="1949" w:type="dxa"/>
            <w:noWrap w:val="0"/>
            <w:vAlign w:val="center"/>
          </w:tcPr>
          <w:p>
            <w:pPr>
              <w:adjustRightInd w:val="0"/>
              <w:snapToGrid w:val="0"/>
              <w:ind w:left="21" w:leftChars="10"/>
              <w:jc w:val="left"/>
              <w:rPr>
                <w:rFonts w:eastAsia="仿宋_GB2312"/>
                <w:color w:val="000000"/>
                <w:kern w:val="0"/>
                <w:sz w:val="28"/>
                <w:szCs w:val="28"/>
              </w:rPr>
            </w:pPr>
            <w:r>
              <w:rPr>
                <w:rFonts w:eastAsia="仿宋_GB2312"/>
                <w:color w:val="000000"/>
                <w:kern w:val="0"/>
                <w:sz w:val="28"/>
                <w:szCs w:val="28"/>
              </w:rPr>
              <w:t>泊位专业化率</w:t>
            </w:r>
          </w:p>
        </w:tc>
        <w:tc>
          <w:tcPr>
            <w:tcW w:w="2535" w:type="dxa"/>
            <w:noWrap w:val="0"/>
            <w:vAlign w:val="center"/>
          </w:tcPr>
          <w:p>
            <w:pPr>
              <w:adjustRightInd w:val="0"/>
              <w:snapToGrid w:val="0"/>
              <w:ind w:left="21" w:leftChars="10"/>
              <w:rPr>
                <w:rFonts w:eastAsia="仿宋_GB2312"/>
                <w:color w:val="000000"/>
                <w:kern w:val="0"/>
                <w:sz w:val="28"/>
                <w:szCs w:val="28"/>
              </w:rPr>
            </w:pPr>
            <w:bookmarkStart w:id="6" w:name="_Hlk10477914"/>
            <w:r>
              <w:rPr>
                <w:rFonts w:eastAsia="仿宋_GB2312"/>
                <w:color w:val="000000"/>
                <w:kern w:val="0"/>
                <w:sz w:val="28"/>
                <w:szCs w:val="28"/>
              </w:rPr>
              <w:t>反映煤、油、矿、集装箱四大货类专业化泊位比重。</w:t>
            </w:r>
            <w:bookmarkEnd w:id="6"/>
          </w:p>
        </w:tc>
        <w:tc>
          <w:tcPr>
            <w:tcW w:w="3390" w:type="dxa"/>
            <w:noWrap w:val="0"/>
            <w:vAlign w:val="center"/>
          </w:tcPr>
          <w:p>
            <w:pPr>
              <w:adjustRightInd w:val="0"/>
              <w:snapToGrid w:val="0"/>
              <w:rPr>
                <w:rFonts w:eastAsia="仿宋_GB2312"/>
                <w:color w:val="000000"/>
                <w:kern w:val="0"/>
                <w:sz w:val="28"/>
                <w:szCs w:val="28"/>
              </w:rPr>
            </w:pPr>
            <w:r>
              <w:rPr>
                <w:rFonts w:eastAsia="仿宋_GB2312"/>
                <w:color w:val="000000"/>
                <w:kern w:val="0"/>
                <w:sz w:val="28"/>
                <w:szCs w:val="28"/>
              </w:rPr>
              <w:t>按照煤、油、矿、集装箱四大货类分别计算，由各货类专业化泊位数与用于各货类装卸的泊位总数的比值确定。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4" w:hRule="atLeast"/>
        </w:trPr>
        <w:tc>
          <w:tcPr>
            <w:tcW w:w="499" w:type="dxa"/>
            <w:vMerge w:val="restart"/>
            <w:noWrap w:val="0"/>
            <w:vAlign w:val="center"/>
          </w:tcPr>
          <w:p>
            <w:pPr>
              <w:snapToGrid w:val="0"/>
              <w:ind w:left="-80" w:leftChars="-38"/>
              <w:jc w:val="center"/>
              <w:rPr>
                <w:rFonts w:eastAsia="仿宋_GB2312"/>
                <w:b/>
                <w:sz w:val="28"/>
                <w:szCs w:val="28"/>
              </w:rPr>
            </w:pPr>
            <w:r>
              <w:rPr>
                <w:rFonts w:hint="eastAsia" w:eastAsia="仿宋_GB2312"/>
                <w:b/>
                <w:sz w:val="28"/>
                <w:szCs w:val="28"/>
              </w:rPr>
              <w:t>支撑</w:t>
            </w:r>
            <w:r>
              <w:rPr>
                <w:rFonts w:eastAsia="仿宋_GB2312"/>
                <w:b/>
                <w:sz w:val="28"/>
                <w:szCs w:val="28"/>
              </w:rPr>
              <w:t>有力</w:t>
            </w:r>
          </w:p>
        </w:tc>
        <w:tc>
          <w:tcPr>
            <w:tcW w:w="433" w:type="dxa"/>
            <w:noWrap w:val="0"/>
            <w:vAlign w:val="center"/>
          </w:tcPr>
          <w:p>
            <w:pPr>
              <w:snapToGrid w:val="0"/>
              <w:ind w:left="-84" w:leftChars="-40"/>
              <w:jc w:val="center"/>
              <w:rPr>
                <w:rFonts w:eastAsia="仿宋_GB2312"/>
                <w:b/>
                <w:sz w:val="28"/>
                <w:szCs w:val="28"/>
              </w:rPr>
            </w:pPr>
            <w:r>
              <w:rPr>
                <w:rFonts w:eastAsia="仿宋_GB2312"/>
                <w:b/>
                <w:sz w:val="28"/>
                <w:szCs w:val="28"/>
              </w:rPr>
              <w:t>11</w:t>
            </w:r>
          </w:p>
        </w:tc>
        <w:tc>
          <w:tcPr>
            <w:tcW w:w="1949" w:type="dxa"/>
            <w:noWrap w:val="0"/>
            <w:vAlign w:val="center"/>
          </w:tcPr>
          <w:p>
            <w:pPr>
              <w:adjustRightInd w:val="0"/>
              <w:snapToGrid w:val="0"/>
              <w:ind w:left="21" w:leftChars="10"/>
              <w:jc w:val="left"/>
              <w:rPr>
                <w:rFonts w:eastAsia="仿宋_GB2312"/>
                <w:color w:val="000000"/>
                <w:kern w:val="0"/>
                <w:sz w:val="28"/>
                <w:szCs w:val="28"/>
              </w:rPr>
            </w:pPr>
            <w:r>
              <w:rPr>
                <w:rFonts w:eastAsia="仿宋_GB2312"/>
                <w:color w:val="000000"/>
                <w:kern w:val="0"/>
                <w:sz w:val="28"/>
                <w:szCs w:val="28"/>
              </w:rPr>
              <w:t>港口能力与功能适应性</w:t>
            </w:r>
          </w:p>
        </w:tc>
        <w:tc>
          <w:tcPr>
            <w:tcW w:w="2535" w:type="dxa"/>
            <w:noWrap w:val="0"/>
            <w:vAlign w:val="center"/>
          </w:tcPr>
          <w:p>
            <w:pPr>
              <w:adjustRightInd w:val="0"/>
              <w:snapToGrid w:val="0"/>
              <w:ind w:left="21" w:leftChars="10"/>
              <w:jc w:val="left"/>
              <w:rPr>
                <w:rFonts w:eastAsia="仿宋_GB2312"/>
                <w:color w:val="000000"/>
                <w:kern w:val="0"/>
                <w:sz w:val="28"/>
                <w:szCs w:val="28"/>
              </w:rPr>
            </w:pPr>
            <w:r>
              <w:rPr>
                <w:rFonts w:eastAsia="仿宋_GB2312"/>
                <w:color w:val="000000"/>
                <w:kern w:val="0"/>
                <w:sz w:val="28"/>
                <w:szCs w:val="28"/>
              </w:rPr>
              <w:t>反映码头、航道、锚地等设施能力对腹地货物运输需求的保障程度，以及港口服务和作业功能完备性。</w:t>
            </w:r>
          </w:p>
        </w:tc>
        <w:tc>
          <w:tcPr>
            <w:tcW w:w="3390" w:type="dxa"/>
            <w:noWrap w:val="0"/>
            <w:vAlign w:val="center"/>
          </w:tcPr>
          <w:p>
            <w:pPr>
              <w:adjustRightInd w:val="0"/>
              <w:snapToGrid w:val="0"/>
              <w:ind w:left="21" w:leftChars="10"/>
              <w:jc w:val="left"/>
              <w:rPr>
                <w:rFonts w:eastAsia="仿宋_GB2312"/>
                <w:color w:val="000000"/>
                <w:kern w:val="0"/>
                <w:sz w:val="28"/>
                <w:szCs w:val="28"/>
              </w:rPr>
            </w:pPr>
            <w:r>
              <w:rPr>
                <w:rFonts w:eastAsia="仿宋_GB2312"/>
                <w:color w:val="000000"/>
                <w:kern w:val="0"/>
                <w:sz w:val="28"/>
                <w:szCs w:val="28"/>
              </w:rPr>
              <w:t>对客货运码头能力、航道等级、锚泊时间，以及各类港口服务、危险货物作业功能完备性等情况综合评价。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8" w:hRule="atLeast"/>
        </w:trPr>
        <w:tc>
          <w:tcPr>
            <w:tcW w:w="499" w:type="dxa"/>
            <w:vMerge w:val="continue"/>
            <w:noWrap w:val="0"/>
            <w:vAlign w:val="center"/>
          </w:tcPr>
          <w:p>
            <w:pPr>
              <w:snapToGrid w:val="0"/>
              <w:ind w:left="-80" w:leftChars="-38"/>
              <w:jc w:val="center"/>
              <w:rPr>
                <w:rFonts w:eastAsia="仿宋_GB2312"/>
                <w:b/>
                <w:sz w:val="28"/>
                <w:szCs w:val="28"/>
              </w:rPr>
            </w:pPr>
          </w:p>
        </w:tc>
        <w:tc>
          <w:tcPr>
            <w:tcW w:w="433" w:type="dxa"/>
            <w:noWrap w:val="0"/>
            <w:vAlign w:val="center"/>
          </w:tcPr>
          <w:p>
            <w:pPr>
              <w:snapToGrid w:val="0"/>
              <w:ind w:left="-84" w:leftChars="-40"/>
              <w:jc w:val="center"/>
              <w:rPr>
                <w:rFonts w:eastAsia="仿宋_GB2312"/>
                <w:b/>
                <w:sz w:val="28"/>
                <w:szCs w:val="28"/>
              </w:rPr>
            </w:pPr>
            <w:r>
              <w:rPr>
                <w:rFonts w:eastAsia="仿宋_GB2312"/>
                <w:b/>
                <w:sz w:val="28"/>
                <w:szCs w:val="28"/>
              </w:rPr>
              <w:t>12</w:t>
            </w:r>
          </w:p>
        </w:tc>
        <w:tc>
          <w:tcPr>
            <w:tcW w:w="1949" w:type="dxa"/>
            <w:noWrap w:val="0"/>
            <w:vAlign w:val="center"/>
          </w:tcPr>
          <w:p>
            <w:pPr>
              <w:adjustRightInd w:val="0"/>
              <w:snapToGrid w:val="0"/>
              <w:ind w:left="21" w:leftChars="10"/>
              <w:jc w:val="left"/>
              <w:rPr>
                <w:rFonts w:eastAsia="仿宋_GB2312"/>
                <w:color w:val="000000"/>
                <w:kern w:val="0"/>
                <w:sz w:val="28"/>
                <w:szCs w:val="28"/>
              </w:rPr>
            </w:pPr>
            <w:bookmarkStart w:id="7" w:name="_Hlk10481296"/>
            <w:r>
              <w:rPr>
                <w:rFonts w:eastAsia="仿宋_GB2312"/>
                <w:color w:val="000000"/>
                <w:kern w:val="0"/>
                <w:sz w:val="28"/>
                <w:szCs w:val="28"/>
              </w:rPr>
              <w:t>对城市支撑和内陆腹地覆盖</w:t>
            </w:r>
            <w:bookmarkEnd w:id="7"/>
            <w:r>
              <w:rPr>
                <w:rFonts w:eastAsia="仿宋_GB2312"/>
                <w:color w:val="000000"/>
                <w:kern w:val="0"/>
                <w:sz w:val="28"/>
                <w:szCs w:val="28"/>
              </w:rPr>
              <w:t>度</w:t>
            </w:r>
          </w:p>
        </w:tc>
        <w:tc>
          <w:tcPr>
            <w:tcW w:w="2535" w:type="dxa"/>
            <w:noWrap w:val="0"/>
            <w:vAlign w:val="center"/>
          </w:tcPr>
          <w:p>
            <w:pPr>
              <w:adjustRightInd w:val="0"/>
              <w:snapToGrid w:val="0"/>
              <w:ind w:left="21" w:leftChars="10"/>
              <w:rPr>
                <w:rFonts w:eastAsia="仿宋_GB2312"/>
                <w:color w:val="000000"/>
                <w:kern w:val="0"/>
                <w:sz w:val="28"/>
                <w:szCs w:val="28"/>
              </w:rPr>
            </w:pPr>
            <w:r>
              <w:rPr>
                <w:rFonts w:eastAsia="仿宋_GB2312"/>
                <w:color w:val="000000"/>
                <w:kern w:val="0"/>
                <w:sz w:val="28"/>
                <w:szCs w:val="28"/>
              </w:rPr>
              <w:t>反映港口集疏运体系的完备性，对所在城市、内陆腹地辐射和服务国家重大战略的保障能力。</w:t>
            </w:r>
          </w:p>
        </w:tc>
        <w:tc>
          <w:tcPr>
            <w:tcW w:w="3390" w:type="dxa"/>
            <w:noWrap w:val="0"/>
            <w:vAlign w:val="center"/>
          </w:tcPr>
          <w:p>
            <w:pPr>
              <w:adjustRightInd w:val="0"/>
              <w:snapToGrid w:val="0"/>
              <w:ind w:left="21" w:leftChars="10"/>
              <w:rPr>
                <w:rFonts w:eastAsia="仿宋_GB2312"/>
                <w:color w:val="000000"/>
                <w:kern w:val="0"/>
                <w:sz w:val="28"/>
                <w:szCs w:val="28"/>
              </w:rPr>
            </w:pPr>
            <w:r>
              <w:rPr>
                <w:rFonts w:eastAsia="仿宋_GB2312"/>
                <w:color w:val="000000"/>
                <w:kern w:val="0"/>
                <w:sz w:val="28"/>
                <w:szCs w:val="28"/>
              </w:rPr>
              <w:t>对港口集疏运通道辐射半径、连接主要城市个数以及港口间协同发展和服务城市群发展能力等情况综合评价。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trPr>
        <w:tc>
          <w:tcPr>
            <w:tcW w:w="499" w:type="dxa"/>
            <w:vMerge w:val="continue"/>
            <w:noWrap w:val="0"/>
            <w:vAlign w:val="center"/>
          </w:tcPr>
          <w:p>
            <w:pPr>
              <w:snapToGrid w:val="0"/>
              <w:ind w:left="-80" w:leftChars="-38"/>
              <w:jc w:val="center"/>
              <w:rPr>
                <w:rFonts w:eastAsia="仿宋_GB2312"/>
                <w:b/>
                <w:sz w:val="28"/>
                <w:szCs w:val="28"/>
              </w:rPr>
            </w:pPr>
          </w:p>
        </w:tc>
        <w:tc>
          <w:tcPr>
            <w:tcW w:w="433" w:type="dxa"/>
            <w:noWrap w:val="0"/>
            <w:vAlign w:val="center"/>
          </w:tcPr>
          <w:p>
            <w:pPr>
              <w:snapToGrid w:val="0"/>
              <w:ind w:left="-84" w:leftChars="-40"/>
              <w:jc w:val="center"/>
              <w:rPr>
                <w:rFonts w:eastAsia="仿宋_GB2312"/>
                <w:b/>
                <w:sz w:val="28"/>
                <w:szCs w:val="28"/>
              </w:rPr>
            </w:pPr>
            <w:r>
              <w:rPr>
                <w:rFonts w:eastAsia="仿宋_GB2312"/>
                <w:b/>
                <w:sz w:val="28"/>
                <w:szCs w:val="28"/>
              </w:rPr>
              <w:t>13</w:t>
            </w:r>
          </w:p>
        </w:tc>
        <w:tc>
          <w:tcPr>
            <w:tcW w:w="1949" w:type="dxa"/>
            <w:noWrap w:val="0"/>
            <w:vAlign w:val="center"/>
          </w:tcPr>
          <w:p>
            <w:pPr>
              <w:adjustRightInd w:val="0"/>
              <w:snapToGrid w:val="0"/>
              <w:ind w:left="21" w:leftChars="10"/>
              <w:jc w:val="left"/>
              <w:rPr>
                <w:rFonts w:eastAsia="仿宋_GB2312"/>
                <w:color w:val="000000"/>
                <w:kern w:val="0"/>
                <w:sz w:val="28"/>
                <w:szCs w:val="28"/>
              </w:rPr>
            </w:pPr>
            <w:r>
              <w:rPr>
                <w:rFonts w:eastAsia="仿宋_GB2312"/>
                <w:color w:val="000000"/>
                <w:kern w:val="0"/>
                <w:sz w:val="28"/>
                <w:szCs w:val="28"/>
              </w:rPr>
              <w:t>从业人员素质</w:t>
            </w:r>
          </w:p>
        </w:tc>
        <w:tc>
          <w:tcPr>
            <w:tcW w:w="2535" w:type="dxa"/>
            <w:noWrap w:val="0"/>
            <w:vAlign w:val="center"/>
          </w:tcPr>
          <w:p>
            <w:pPr>
              <w:adjustRightInd w:val="0"/>
              <w:snapToGrid w:val="0"/>
              <w:ind w:left="21" w:leftChars="10"/>
              <w:rPr>
                <w:rFonts w:eastAsia="仿宋_GB2312"/>
                <w:color w:val="000000"/>
                <w:kern w:val="0"/>
                <w:sz w:val="28"/>
                <w:szCs w:val="28"/>
              </w:rPr>
            </w:pPr>
            <w:r>
              <w:rPr>
                <w:rFonts w:eastAsia="仿宋_GB2312"/>
                <w:kern w:val="0"/>
                <w:sz w:val="28"/>
                <w:szCs w:val="28"/>
              </w:rPr>
              <w:t>反映一线从业人员、持证人员、专业技术人员素质和专业化水平。</w:t>
            </w:r>
          </w:p>
        </w:tc>
        <w:tc>
          <w:tcPr>
            <w:tcW w:w="3390" w:type="dxa"/>
            <w:noWrap w:val="0"/>
            <w:vAlign w:val="center"/>
          </w:tcPr>
          <w:p>
            <w:pPr>
              <w:adjustRightInd w:val="0"/>
              <w:snapToGrid w:val="0"/>
              <w:ind w:left="21" w:leftChars="10"/>
              <w:rPr>
                <w:rFonts w:eastAsia="仿宋_GB2312"/>
                <w:color w:val="000000"/>
                <w:kern w:val="0"/>
                <w:sz w:val="28"/>
                <w:szCs w:val="28"/>
              </w:rPr>
            </w:pPr>
            <w:r>
              <w:rPr>
                <w:rFonts w:eastAsia="仿宋_GB2312"/>
                <w:color w:val="000000"/>
                <w:kern w:val="0"/>
                <w:sz w:val="28"/>
                <w:szCs w:val="28"/>
              </w:rPr>
              <w:t>对各类从业人员资质、从业年限、服务能力等情况综合评价。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0" w:hRule="atLeast"/>
        </w:trPr>
        <w:tc>
          <w:tcPr>
            <w:tcW w:w="499" w:type="dxa"/>
            <w:vMerge w:val="restart"/>
            <w:noWrap w:val="0"/>
            <w:vAlign w:val="center"/>
          </w:tcPr>
          <w:p>
            <w:pPr>
              <w:snapToGrid w:val="0"/>
              <w:ind w:left="-80" w:leftChars="-38"/>
              <w:jc w:val="center"/>
              <w:rPr>
                <w:rFonts w:eastAsia="仿宋_GB2312"/>
                <w:b/>
                <w:sz w:val="28"/>
                <w:szCs w:val="28"/>
              </w:rPr>
            </w:pPr>
            <w:r>
              <w:rPr>
                <w:rFonts w:eastAsia="仿宋_GB2312"/>
                <w:b/>
                <w:sz w:val="28"/>
                <w:szCs w:val="28"/>
              </w:rPr>
              <w:t>世界先进</w:t>
            </w:r>
          </w:p>
        </w:tc>
        <w:tc>
          <w:tcPr>
            <w:tcW w:w="433" w:type="dxa"/>
            <w:noWrap w:val="0"/>
            <w:vAlign w:val="center"/>
          </w:tcPr>
          <w:p>
            <w:pPr>
              <w:snapToGrid w:val="0"/>
              <w:ind w:left="-84" w:leftChars="-40"/>
              <w:jc w:val="center"/>
              <w:rPr>
                <w:rFonts w:eastAsia="仿宋_GB2312"/>
                <w:b/>
                <w:sz w:val="28"/>
                <w:szCs w:val="28"/>
              </w:rPr>
            </w:pPr>
            <w:r>
              <w:rPr>
                <w:rFonts w:eastAsia="仿宋_GB2312"/>
                <w:b/>
                <w:sz w:val="28"/>
                <w:szCs w:val="28"/>
              </w:rPr>
              <w:t>14</w:t>
            </w:r>
          </w:p>
        </w:tc>
        <w:tc>
          <w:tcPr>
            <w:tcW w:w="1949" w:type="dxa"/>
            <w:noWrap w:val="0"/>
            <w:vAlign w:val="center"/>
          </w:tcPr>
          <w:p>
            <w:pPr>
              <w:rPr>
                <w:rFonts w:eastAsia="仿宋_GB2312"/>
                <w:sz w:val="28"/>
                <w:szCs w:val="28"/>
              </w:rPr>
            </w:pPr>
            <w:r>
              <w:rPr>
                <w:rFonts w:eastAsia="仿宋_GB2312"/>
                <w:color w:val="000000"/>
                <w:kern w:val="0"/>
                <w:sz w:val="28"/>
                <w:szCs w:val="28"/>
              </w:rPr>
              <w:t>竞争力</w:t>
            </w:r>
          </w:p>
        </w:tc>
        <w:tc>
          <w:tcPr>
            <w:tcW w:w="2535" w:type="dxa"/>
            <w:noWrap w:val="0"/>
            <w:vAlign w:val="center"/>
          </w:tcPr>
          <w:p>
            <w:pPr>
              <w:adjustRightInd w:val="0"/>
              <w:snapToGrid w:val="0"/>
              <w:ind w:left="21" w:leftChars="10"/>
              <w:jc w:val="left"/>
              <w:rPr>
                <w:rFonts w:eastAsia="仿宋_GB2312"/>
                <w:color w:val="000000"/>
                <w:kern w:val="0"/>
                <w:sz w:val="28"/>
                <w:szCs w:val="28"/>
              </w:rPr>
            </w:pPr>
            <w:r>
              <w:rPr>
                <w:rFonts w:eastAsia="仿宋_GB2312"/>
                <w:color w:val="000000"/>
                <w:kern w:val="0"/>
                <w:sz w:val="28"/>
                <w:szCs w:val="28"/>
              </w:rPr>
              <w:t>反映港口技术创新能力与引领性、港口运营主体经营水平和市场地位。</w:t>
            </w:r>
          </w:p>
        </w:tc>
        <w:tc>
          <w:tcPr>
            <w:tcW w:w="3390" w:type="dxa"/>
            <w:noWrap w:val="0"/>
            <w:vAlign w:val="center"/>
          </w:tcPr>
          <w:p>
            <w:pPr>
              <w:adjustRightInd w:val="0"/>
              <w:snapToGrid w:val="0"/>
              <w:ind w:left="21" w:leftChars="10"/>
              <w:jc w:val="left"/>
              <w:rPr>
                <w:rFonts w:eastAsia="仿宋_GB2312"/>
                <w:color w:val="000000"/>
                <w:kern w:val="0"/>
                <w:sz w:val="28"/>
                <w:szCs w:val="28"/>
              </w:rPr>
            </w:pPr>
            <w:r>
              <w:rPr>
                <w:rFonts w:eastAsia="仿宋_GB2312"/>
                <w:color w:val="000000"/>
                <w:kern w:val="0"/>
                <w:sz w:val="28"/>
                <w:szCs w:val="28"/>
              </w:rPr>
              <w:t>对港口技术创新及应用、标准和规范对行业的影响、港口运营企业盈利水平和国际化程度等情况综合评价。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4" w:hRule="atLeast"/>
        </w:trPr>
        <w:tc>
          <w:tcPr>
            <w:tcW w:w="499" w:type="dxa"/>
            <w:vMerge w:val="continue"/>
            <w:noWrap w:val="0"/>
            <w:vAlign w:val="center"/>
          </w:tcPr>
          <w:p>
            <w:pPr>
              <w:snapToGrid w:val="0"/>
              <w:ind w:left="-80" w:leftChars="-38"/>
              <w:jc w:val="center"/>
              <w:rPr>
                <w:rFonts w:eastAsia="仿宋_GB2312"/>
                <w:b/>
                <w:sz w:val="28"/>
                <w:szCs w:val="28"/>
              </w:rPr>
            </w:pPr>
          </w:p>
        </w:tc>
        <w:tc>
          <w:tcPr>
            <w:tcW w:w="433" w:type="dxa"/>
            <w:noWrap w:val="0"/>
            <w:vAlign w:val="center"/>
          </w:tcPr>
          <w:p>
            <w:pPr>
              <w:snapToGrid w:val="0"/>
              <w:ind w:left="-84" w:leftChars="-40"/>
              <w:jc w:val="center"/>
              <w:rPr>
                <w:rFonts w:eastAsia="仿宋_GB2312"/>
                <w:b/>
                <w:sz w:val="28"/>
                <w:szCs w:val="28"/>
              </w:rPr>
            </w:pPr>
            <w:r>
              <w:rPr>
                <w:rFonts w:eastAsia="仿宋_GB2312"/>
                <w:b/>
                <w:sz w:val="28"/>
                <w:szCs w:val="28"/>
              </w:rPr>
              <w:t>15</w:t>
            </w:r>
          </w:p>
        </w:tc>
        <w:tc>
          <w:tcPr>
            <w:tcW w:w="1949" w:type="dxa"/>
            <w:noWrap w:val="0"/>
            <w:vAlign w:val="center"/>
          </w:tcPr>
          <w:p>
            <w:pPr>
              <w:adjustRightInd w:val="0"/>
              <w:snapToGrid w:val="0"/>
              <w:ind w:left="21" w:leftChars="10"/>
              <w:jc w:val="left"/>
              <w:rPr>
                <w:rFonts w:eastAsia="仿宋_GB2312"/>
                <w:color w:val="000000"/>
                <w:kern w:val="0"/>
                <w:sz w:val="28"/>
                <w:szCs w:val="28"/>
              </w:rPr>
            </w:pPr>
            <w:r>
              <w:rPr>
                <w:rFonts w:eastAsia="仿宋_GB2312"/>
                <w:color w:val="000000"/>
                <w:kern w:val="0"/>
                <w:sz w:val="28"/>
                <w:szCs w:val="28"/>
              </w:rPr>
              <w:t>经济贡献</w:t>
            </w:r>
          </w:p>
        </w:tc>
        <w:tc>
          <w:tcPr>
            <w:tcW w:w="2535" w:type="dxa"/>
            <w:noWrap w:val="0"/>
            <w:vAlign w:val="center"/>
          </w:tcPr>
          <w:p>
            <w:pPr>
              <w:adjustRightInd w:val="0"/>
              <w:snapToGrid w:val="0"/>
              <w:ind w:left="21" w:leftChars="10"/>
              <w:rPr>
                <w:rFonts w:eastAsia="仿宋_GB2312"/>
                <w:color w:val="000000"/>
                <w:kern w:val="0"/>
                <w:sz w:val="28"/>
                <w:szCs w:val="28"/>
              </w:rPr>
            </w:pPr>
            <w:r>
              <w:rPr>
                <w:rFonts w:eastAsia="仿宋_GB2312"/>
                <w:color w:val="000000"/>
                <w:kern w:val="0"/>
                <w:sz w:val="28"/>
                <w:szCs w:val="28"/>
              </w:rPr>
              <w:t>反映港产城融合程度、要素集聚程度、现代港航服务业发展水平。</w:t>
            </w:r>
          </w:p>
        </w:tc>
        <w:tc>
          <w:tcPr>
            <w:tcW w:w="3390" w:type="dxa"/>
            <w:noWrap w:val="0"/>
            <w:vAlign w:val="center"/>
          </w:tcPr>
          <w:p>
            <w:pPr>
              <w:adjustRightInd w:val="0"/>
              <w:snapToGrid w:val="0"/>
              <w:ind w:left="21" w:leftChars="10"/>
              <w:rPr>
                <w:rFonts w:eastAsia="仿宋_GB2312"/>
                <w:color w:val="000000"/>
                <w:kern w:val="0"/>
                <w:sz w:val="28"/>
                <w:szCs w:val="28"/>
              </w:rPr>
            </w:pPr>
            <w:r>
              <w:rPr>
                <w:rFonts w:eastAsia="仿宋_GB2312"/>
                <w:color w:val="000000"/>
                <w:kern w:val="0"/>
                <w:sz w:val="28"/>
                <w:szCs w:val="28"/>
              </w:rPr>
              <w:t>对港口增加值、就业的规模、结构及比重、单位岸线经济产出以及现代航运服务业和临港产业增加值等情况综合评价。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trPr>
        <w:tc>
          <w:tcPr>
            <w:tcW w:w="499" w:type="dxa"/>
            <w:vMerge w:val="continue"/>
            <w:noWrap w:val="0"/>
            <w:vAlign w:val="center"/>
          </w:tcPr>
          <w:p>
            <w:pPr>
              <w:snapToGrid w:val="0"/>
              <w:ind w:left="-80" w:leftChars="-38"/>
              <w:jc w:val="center"/>
              <w:rPr>
                <w:rFonts w:eastAsia="仿宋_GB2312"/>
                <w:b/>
                <w:sz w:val="28"/>
                <w:szCs w:val="28"/>
              </w:rPr>
            </w:pPr>
          </w:p>
        </w:tc>
        <w:tc>
          <w:tcPr>
            <w:tcW w:w="433" w:type="dxa"/>
            <w:noWrap w:val="0"/>
            <w:vAlign w:val="center"/>
          </w:tcPr>
          <w:p>
            <w:pPr>
              <w:snapToGrid w:val="0"/>
              <w:ind w:left="-84" w:leftChars="-40"/>
              <w:jc w:val="center"/>
              <w:rPr>
                <w:rFonts w:eastAsia="仿宋_GB2312"/>
                <w:b/>
                <w:sz w:val="28"/>
                <w:szCs w:val="28"/>
              </w:rPr>
            </w:pPr>
            <w:r>
              <w:rPr>
                <w:rFonts w:eastAsia="仿宋_GB2312"/>
                <w:b/>
                <w:sz w:val="28"/>
                <w:szCs w:val="28"/>
              </w:rPr>
              <w:t>16</w:t>
            </w:r>
          </w:p>
        </w:tc>
        <w:tc>
          <w:tcPr>
            <w:tcW w:w="1949" w:type="dxa"/>
            <w:noWrap w:val="0"/>
            <w:vAlign w:val="center"/>
          </w:tcPr>
          <w:p>
            <w:pPr>
              <w:adjustRightInd w:val="0"/>
              <w:snapToGrid w:val="0"/>
              <w:ind w:left="21" w:leftChars="10"/>
              <w:jc w:val="left"/>
              <w:rPr>
                <w:rFonts w:eastAsia="仿宋_GB2312"/>
                <w:color w:val="000000"/>
                <w:kern w:val="0"/>
                <w:sz w:val="28"/>
                <w:szCs w:val="28"/>
              </w:rPr>
            </w:pPr>
            <w:r>
              <w:rPr>
                <w:rFonts w:eastAsia="仿宋_GB2312"/>
                <w:color w:val="000000"/>
                <w:kern w:val="0"/>
                <w:sz w:val="28"/>
                <w:szCs w:val="28"/>
              </w:rPr>
              <w:t>国际影响力</w:t>
            </w:r>
          </w:p>
        </w:tc>
        <w:tc>
          <w:tcPr>
            <w:tcW w:w="2535" w:type="dxa"/>
            <w:noWrap w:val="0"/>
            <w:vAlign w:val="center"/>
          </w:tcPr>
          <w:p>
            <w:pPr>
              <w:adjustRightInd w:val="0"/>
              <w:snapToGrid w:val="0"/>
              <w:ind w:left="21" w:leftChars="10"/>
              <w:rPr>
                <w:rFonts w:eastAsia="仿宋_GB2312"/>
                <w:color w:val="000000"/>
                <w:kern w:val="0"/>
                <w:sz w:val="28"/>
                <w:szCs w:val="28"/>
              </w:rPr>
            </w:pPr>
            <w:bookmarkStart w:id="8" w:name="_Hlk10478355"/>
            <w:r>
              <w:rPr>
                <w:rFonts w:eastAsia="仿宋_GB2312"/>
                <w:color w:val="000000"/>
                <w:kern w:val="0"/>
                <w:sz w:val="28"/>
                <w:szCs w:val="28"/>
              </w:rPr>
              <w:t>反映港口规模、地位和国际影响力水平。</w:t>
            </w:r>
            <w:bookmarkEnd w:id="8"/>
          </w:p>
        </w:tc>
        <w:tc>
          <w:tcPr>
            <w:tcW w:w="3390" w:type="dxa"/>
            <w:noWrap w:val="0"/>
            <w:vAlign w:val="center"/>
          </w:tcPr>
          <w:p>
            <w:pPr>
              <w:adjustRightInd w:val="0"/>
              <w:snapToGrid w:val="0"/>
              <w:ind w:left="21" w:leftChars="10"/>
              <w:rPr>
                <w:rFonts w:eastAsia="仿宋_GB2312"/>
                <w:color w:val="000000"/>
                <w:kern w:val="0"/>
                <w:sz w:val="28"/>
                <w:szCs w:val="28"/>
              </w:rPr>
            </w:pPr>
            <w:r>
              <w:rPr>
                <w:rFonts w:eastAsia="仿宋_GB2312"/>
                <w:color w:val="000000"/>
                <w:kern w:val="0"/>
                <w:sz w:val="28"/>
                <w:szCs w:val="28"/>
              </w:rPr>
              <w:t xml:space="preserve">对港口吞吐量、航线覆盖率、港航物流资源聚集度、港口国际合作等情况综合评价。 </w:t>
            </w:r>
          </w:p>
        </w:tc>
      </w:tr>
    </w:tbl>
    <w:p>
      <w:pPr>
        <w:ind w:firstLine="560"/>
      </w:pPr>
    </w:p>
    <w:p/>
    <w:p>
      <w:bookmarkStart w:id="9" w:name="_GoBack"/>
      <w:bookmarkEnd w:id="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dobeHeitiStd-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274C2B"/>
    <w:rsid w:val="0F274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3"/>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next w:val="4"/>
    <w:qFormat/>
    <w:uiPriority w:val="0"/>
    <w:pPr>
      <w:keepNext/>
      <w:keepLines/>
      <w:spacing w:before="240" w:beforeLines="0" w:after="240" w:afterLines="0" w:line="413" w:lineRule="auto"/>
      <w:outlineLvl w:val="1"/>
    </w:pPr>
    <w:rPr>
      <w:rFonts w:ascii="Times New Roman" w:hAnsi="Times New Roman" w:eastAsia="黑体" w:cs="黑体"/>
      <w:bCs/>
      <w:sz w:val="30"/>
      <w:szCs w:val="32"/>
      <w:lang w:val="en-US" w:eastAsia="zh-CN" w:bidi="ar-SA"/>
    </w:rPr>
  </w:style>
  <w:style w:type="paragraph" w:styleId="4">
    <w:name w:val="heading 3"/>
    <w:basedOn w:val="1"/>
    <w:next w:val="1"/>
    <w:qFormat/>
    <w:uiPriority w:val="0"/>
    <w:pPr>
      <w:keepNext/>
      <w:keepLines/>
      <w:spacing w:before="260" w:beforeLines="0" w:after="260" w:afterLines="0" w:line="413" w:lineRule="auto"/>
      <w:outlineLvl w:val="2"/>
    </w:pPr>
    <w:rPr>
      <w:rFonts w:ascii="Times New Roman" w:hAnsi="Times New Roman" w:eastAsia="宋体"/>
      <w:b/>
      <w:bCs/>
      <w:sz w:val="32"/>
      <w:szCs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2019-11-13T09:02:00Z</dcterms:created>
  <dc:creator>中国海员之家</dc:creator>
  <cp:lastModifiedBy>中国海员之家</cp:lastModifiedBy>
  <dcterms:modified xsi:type="dcterms:W3CDTF">2019-11-13T09:05:44Z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