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Helvetica" w:hAnsi="Helvetica" w:eastAsia="Helvetica" w:cs="Helvetica"/>
          <w:i w:val="0"/>
          <w:caps w:val="0"/>
          <w:color w:val="3E3E3E"/>
          <w:spacing w:val="0"/>
          <w:sz w:val="22"/>
          <w:szCs w:val="22"/>
        </w:rPr>
      </w:pPr>
      <w:bookmarkStart w:id="0" w:name="_GoBack"/>
      <w:r>
        <w:rPr>
          <w:rStyle w:val="5"/>
          <w:rFonts w:hint="default" w:ascii="Helvetica" w:hAnsi="Helvetica" w:eastAsia="Helvetica" w:cs="Helvetica"/>
          <w:b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《关于修改〈港口经营管理规定〉的决定》的解读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日前，为落实国务院深化“放管服”改革以及相关法律法规的最新要求，我部出台了《关于修改&lt;港口经营管理规定&gt;的决定》（交通运输部令2020年第21号），将于2021年2月1日起正式实施。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为切实做好贯彻实施工作，现就修改决定出台背景及内容解读如下：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</w:rPr>
      </w:pPr>
      <w:r>
        <w:rPr>
          <w:rStyle w:val="5"/>
          <w:rFonts w:hint="default" w:ascii="Helvetica" w:hAnsi="Helvetica" w:eastAsia="Helvetica" w:cs="Helvetica"/>
          <w:b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一、工作背景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港口是综合交通运输枢纽，也是经济社会发展的战略资源和重要支撑。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《港口经营管理规定》自2009年颁布以来，对规范港口经营行为、促进港口优化升级、支撑经济高质量发展发挥了重要作用。近年来，随着“放管服”改革不断深化，特别是《优化营商环境条例》于2020年1月正式实施，对优化港口营商环境提出了更高要求，需对相关条款进行修改完善，进一步放宽港口经营限制，增强港口经营活力，更好服务构建新发展格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同时，为进一步落实《安全生产法》《反恐怖主义法》《水污染防治法》《大气污染防治法》相关要求，需补充完善港口绿色发展、安全生产、反恐防范等制度内容。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</w:rPr>
      </w:pPr>
      <w:r>
        <w:rPr>
          <w:rStyle w:val="5"/>
          <w:rFonts w:hint="default" w:ascii="Helvetica" w:hAnsi="Helvetica" w:eastAsia="Helvetica" w:cs="Helvetica"/>
          <w:b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二、主要修改内容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（一）放宽港口经营限制，优化港口营商环境。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一是打破拖轮经营者需在港口所在地注册的条件限制，推动形成全国统一的拖轮市场。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二是落实国务院《关于加快推进全国一体化在线政务服务平台建设的指导意见》（国发〔2018〕27号），不再强制要求港口经营人提交书面材料，同时简化港口经营延续申请材料，便利相对人。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三是按照“证照分离”改革要求，港口经营许可时限从30日压缩到20日，许可变更和企业登记变更不再绑定。四是要求经营服务收费项目和收费标准多渠道公开，保障港口经营公平透明。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（二）强化港口污染防治，推动港口绿色发展。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一是依法落实国家关于推进船舶靠港使用岸电的有关要求，在港口经营许可条件中依法增补对岸电设施的要求，并根据实际情况进一步细化明确港口污水预处理设施的类别，鼓励港口经营人优先使用清洁能源、新能源，以源头加强污染防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二是明确港口经营人船舶污染物接收设施配置责任和接收义务，以及与城市公共转运处置设施有效衔接的要求，满足污染物接收处置需求。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（三）加强港口风险防范和安全管理，切实保障经营安全。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一是因港口大型机械受风力影响较大，安全风险高，要求港口经营人落实相关防风措施。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二是压实企业安全生产主体责任，加强港口安全生产制度建设和从业人员管理。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三是加强作业管理，要求港口经营人接靠船舶不得超过码头功能等级，装载作业、旅客登船不得超过载货和载客定额，沿海港口经营人不得为超航区内河船舶提供装卸服务。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四是加强危险货物过程管理，明确作业委托人的信息告知和船舶提供适装证书义务，港口经营人发现夹带、匿报、谎报危险货物或者对于不符合适装证书明确的危险货物范围的，不得提供服务或装卸作业，按要求及时报告相关部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五是完善港口应急管理，结合新冠肺炎疫情防控实际，明确优先安排突发事件处置和关系国计民生的紧急运输任务；细化应急物资配备、培训演练、预案修订与衔接要求。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六是落实反恐防范要求，规定港口经营人对旅客及其行李、物品、车辆进行安全检查。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（四）加强港口监督管理，保障制度有效实施。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一是强化信用监管措施，明确港口行政管理部门信用信息录入职责和渠道。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二是对港口经营人安全生产等新增义务依法设定处罚。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交通运输部将制定实施港口安全检查手册和港口服务质量、市场秩序与安全督查检查年度计划，逐级加大督导督促力度，层层压实责任，确保修订发布的《港口经营管理规定》落地生效，有力促进港口高质量发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65878"/>
    <w:rsid w:val="0B36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2020-12-31T09:22:00Z</dcterms:created>
  <dc:creator>中国海员之家</dc:creator>
  <cp:lastModifiedBy>中国海员之家</cp:lastModifiedBy>
  <dcterms:modified xsi:type="dcterms:W3CDTF">2020-12-31T09:23:11Z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